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0"/>
        </w:tabs>
        <w:jc w:val="left"/>
        <w:rPr>
          <w:rFonts w:ascii="黑体" w:hAnsi="黑体" w:eastAsia="黑体"/>
          <w:bCs/>
          <w:snapToGrid w:val="0"/>
          <w:kern w:val="0"/>
          <w:sz w:val="32"/>
          <w:szCs w:val="32"/>
        </w:rPr>
      </w:pPr>
      <w:r>
        <w:rPr>
          <w:rFonts w:hint="eastAsia" w:ascii="黑体" w:hAnsi="黑体" w:eastAsia="黑体"/>
          <w:bCs/>
          <w:snapToGrid w:val="0"/>
          <w:kern w:val="0"/>
          <w:sz w:val="32"/>
          <w:szCs w:val="32"/>
        </w:rPr>
        <w:t>附件</w:t>
      </w:r>
      <w:r>
        <w:rPr>
          <w:rFonts w:ascii="黑体" w:hAnsi="黑体" w:eastAsia="黑体"/>
          <w:bCs/>
          <w:snapToGrid w:val="0"/>
          <w:kern w:val="0"/>
          <w:sz w:val="32"/>
          <w:szCs w:val="32"/>
        </w:rPr>
        <w:t>2</w:t>
      </w:r>
    </w:p>
    <w:p>
      <w:pPr>
        <w:tabs>
          <w:tab w:val="left" w:pos="620"/>
        </w:tabs>
        <w:ind w:firstLine="850" w:firstLineChars="200"/>
        <w:rPr>
          <w:rFonts w:ascii="仿宋_GB2312" w:hAnsi="宋体" w:eastAsia="仿宋_GB2312"/>
          <w:b/>
          <w:bCs/>
          <w:snapToGrid w:val="0"/>
          <w:kern w:val="0"/>
          <w:sz w:val="32"/>
          <w:szCs w:val="32"/>
        </w:rPr>
      </w:pPr>
    </w:p>
    <w:p>
      <w:pPr>
        <w:tabs>
          <w:tab w:val="left" w:pos="620"/>
        </w:tabs>
        <w:spacing w:line="576" w:lineRule="exact"/>
        <w:jc w:val="center"/>
        <w:rPr>
          <w:rFonts w:hint="eastAsia" w:ascii="方正小标宋简体" w:hAnsi="宋体" w:eastAsia="方正小标宋简体"/>
          <w:bCs/>
          <w:snapToGrid w:val="0"/>
          <w:kern w:val="0"/>
          <w:sz w:val="32"/>
          <w:szCs w:val="32"/>
        </w:rPr>
      </w:pPr>
      <w:r>
        <w:rPr>
          <w:rFonts w:hint="eastAsia" w:ascii="方正小标宋简体" w:hAnsi="宋体" w:eastAsia="方正小标宋简体"/>
          <w:bCs/>
          <w:snapToGrid w:val="0"/>
          <w:kern w:val="0"/>
          <w:sz w:val="32"/>
          <w:szCs w:val="32"/>
        </w:rPr>
        <w:t>浙江民泰商业银行股份有限公司民泰心乐卡领用合约</w:t>
      </w:r>
    </w:p>
    <w:p>
      <w:pPr>
        <w:tabs>
          <w:tab w:val="left" w:pos="620"/>
        </w:tabs>
        <w:jc w:val="center"/>
        <w:rPr>
          <w:rFonts w:ascii="仿宋_GB2312" w:hAnsi="宋体" w:eastAsia="仿宋_GB2312"/>
          <w:bCs/>
          <w:snapToGrid w:val="0"/>
          <w:kern w:val="0"/>
          <w:sz w:val="30"/>
          <w:szCs w:val="30"/>
        </w:rPr>
      </w:pPr>
      <w:r>
        <w:rPr>
          <w:rFonts w:hint="eastAsia" w:ascii="仿宋_GB2312" w:hAnsi="宋体" w:eastAsia="仿宋_GB2312"/>
          <w:bCs/>
          <w:snapToGrid w:val="0"/>
          <w:kern w:val="0"/>
          <w:sz w:val="30"/>
          <w:szCs w:val="30"/>
        </w:rPr>
        <w:t>（202</w:t>
      </w:r>
      <w:r>
        <w:rPr>
          <w:rFonts w:hint="eastAsia" w:ascii="仿宋_GB2312" w:hAnsi="宋体" w:eastAsia="仿宋_GB2312"/>
          <w:bCs/>
          <w:snapToGrid w:val="0"/>
          <w:kern w:val="0"/>
          <w:sz w:val="30"/>
          <w:szCs w:val="30"/>
          <w:lang w:val="en-US" w:eastAsia="zh-CN"/>
        </w:rPr>
        <w:t>2</w:t>
      </w:r>
      <w:r>
        <w:rPr>
          <w:rFonts w:hint="eastAsia" w:ascii="仿宋_GB2312" w:hAnsi="宋体" w:eastAsia="仿宋_GB2312"/>
          <w:bCs/>
          <w:snapToGrid w:val="0"/>
          <w:kern w:val="0"/>
          <w:sz w:val="30"/>
          <w:szCs w:val="30"/>
        </w:rPr>
        <w:t>年</w:t>
      </w:r>
      <w:r>
        <w:rPr>
          <w:rFonts w:hint="eastAsia" w:ascii="仿宋_GB2312" w:hAnsi="宋体" w:eastAsia="仿宋_GB2312"/>
          <w:bCs/>
          <w:snapToGrid w:val="0"/>
          <w:kern w:val="0"/>
          <w:sz w:val="30"/>
          <w:szCs w:val="30"/>
          <w:lang w:val="en-US" w:eastAsia="zh-CN"/>
        </w:rPr>
        <w:t>4</w:t>
      </w:r>
      <w:r>
        <w:rPr>
          <w:rFonts w:hint="eastAsia" w:ascii="仿宋_GB2312" w:hAnsi="宋体" w:eastAsia="仿宋_GB2312"/>
          <w:bCs/>
          <w:snapToGrid w:val="0"/>
          <w:kern w:val="0"/>
          <w:sz w:val="30"/>
          <w:szCs w:val="30"/>
        </w:rPr>
        <w:t>月）</w:t>
      </w:r>
    </w:p>
    <w:p>
      <w:pPr>
        <w:ind w:firstLine="637" w:firstLineChars="150"/>
        <w:rPr>
          <w:rFonts w:hint="eastAsia" w:ascii="仿宋_GB2312" w:hAnsi="宋体" w:eastAsia="仿宋_GB2312"/>
          <w:bCs/>
          <w:snapToGrid w:val="0"/>
          <w:kern w:val="0"/>
          <w:sz w:val="32"/>
          <w:szCs w:val="32"/>
        </w:rPr>
      </w:pPr>
      <w:r>
        <w:rPr>
          <w:rFonts w:hint="eastAsia" w:ascii="仿宋_GB2312" w:hAnsi="宋体" w:eastAsia="仿宋_GB2312"/>
          <w:bCs/>
          <w:snapToGrid w:val="0"/>
          <w:kern w:val="0"/>
          <w:sz w:val="32"/>
          <w:szCs w:val="32"/>
        </w:rPr>
        <w:t>浙江民泰商业银行股份有限公司（以下简称甲方）与浙江民泰商业银行股份有限公司心乐卡申领人（以下简称乙方）就乙方自愿向甲方申领使用浙江民泰商业银行股份有限公司民泰心乐卡（以下简称心乐卡）有关事宜签订如下合约：</w:t>
      </w:r>
    </w:p>
    <w:p>
      <w:pPr>
        <w:pStyle w:val="20"/>
        <w:spacing w:line="240" w:lineRule="auto"/>
        <w:rPr>
          <w:rFonts w:hint="eastAsia" w:ascii="仿宋_GB2312" w:eastAsia="仿宋_GB2312"/>
          <w:snapToGrid w:val="0"/>
        </w:rPr>
      </w:pPr>
      <w:r>
        <w:rPr>
          <w:rFonts w:hint="eastAsia" w:ascii="仿宋_GB2312" w:eastAsia="仿宋_GB2312"/>
          <w:snapToGrid w:val="0"/>
        </w:rPr>
        <w:t>第一条  申请办卡的基本条件</w:t>
      </w:r>
    </w:p>
    <w:p>
      <w:pPr>
        <w:tabs>
          <w:tab w:val="left" w:pos="620"/>
        </w:tabs>
        <w:ind w:firstLine="637" w:firstLineChars="150"/>
        <w:rPr>
          <w:rFonts w:hint="eastAsia" w:ascii="仿宋_GB2312" w:hAnsi="宋体" w:eastAsia="仿宋_GB2312"/>
          <w:bCs/>
          <w:snapToGrid w:val="0"/>
          <w:kern w:val="0"/>
          <w:sz w:val="32"/>
          <w:szCs w:val="32"/>
        </w:rPr>
      </w:pPr>
      <w:r>
        <w:rPr>
          <w:rFonts w:hint="eastAsia" w:ascii="仿宋_GB2312" w:hAnsi="宋体" w:eastAsia="仿宋_GB2312"/>
          <w:bCs/>
          <w:snapToGrid w:val="0"/>
          <w:kern w:val="0"/>
          <w:sz w:val="32"/>
          <w:szCs w:val="32"/>
        </w:rPr>
        <w:t>一、乙方申请人知悉并理解《浙江民泰商业银行股份有限公司民泰心乐卡章程》（具体章程可通过甲方官方网站查询）（下称《章程》）和《浙江民泰商业银行股份有限公司民泰心乐卡领用合约》（下称《合约》）各项条款，</w:t>
      </w:r>
      <w:r>
        <w:rPr>
          <w:rFonts w:hint="eastAsia" w:ascii="仿宋_GB2312" w:hAnsi="宋体" w:eastAsia="仿宋_GB2312"/>
          <w:b/>
          <w:bCs/>
          <w:snapToGrid w:val="0"/>
          <w:kern w:val="0"/>
          <w:sz w:val="32"/>
          <w:szCs w:val="32"/>
        </w:rPr>
        <w:t>认可并接受本文本中载明的收费标准，</w:t>
      </w:r>
      <w:r>
        <w:rPr>
          <w:rFonts w:hint="eastAsia" w:ascii="仿宋_GB2312" w:hAnsi="宋体" w:eastAsia="仿宋_GB2312"/>
          <w:bCs/>
          <w:snapToGrid w:val="0"/>
          <w:kern w:val="0"/>
          <w:sz w:val="32"/>
          <w:szCs w:val="32"/>
        </w:rPr>
        <w:t>自愿申领心乐卡。</w:t>
      </w:r>
    </w:p>
    <w:p>
      <w:pPr>
        <w:tabs>
          <w:tab w:val="left" w:pos="620"/>
        </w:tabs>
        <w:ind w:firstLine="637" w:firstLineChars="150"/>
        <w:rPr>
          <w:rFonts w:hint="eastAsia"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二、凡年满18周岁，具有完全民事行为能力，有合法、稳定收入来源，有偿还能力，资信良好的中国公民，可凭本人有效身份证件向甲方申领心乐卡。乙方应按甲方规定的内容和方式，准确、完整、真实地提交心乐卡申请信息和证明资料（下称申请资料）。甲方有权根据乙方的申请资料和资信状况决定是否核发心乐卡，并核定信用额度、使用期限和担保条件等。</w:t>
      </w:r>
    </w:p>
    <w:p>
      <w:pPr>
        <w:tabs>
          <w:tab w:val="left" w:pos="620"/>
        </w:tabs>
        <w:ind w:firstLine="637" w:firstLineChars="150"/>
        <w:rPr>
          <w:rFonts w:hint="eastAsia" w:ascii="仿宋_GB2312" w:hAnsi="宋体" w:eastAsia="仿宋_GB2312"/>
          <w:b/>
          <w:snapToGrid w:val="0"/>
          <w:kern w:val="0"/>
          <w:sz w:val="32"/>
          <w:szCs w:val="32"/>
        </w:rPr>
      </w:pPr>
      <w:r>
        <w:rPr>
          <w:rFonts w:hint="eastAsia" w:ascii="仿宋_GB2312" w:hAnsi="宋体" w:eastAsia="仿宋_GB2312"/>
          <w:b/>
          <w:snapToGrid w:val="0"/>
          <w:kern w:val="0"/>
          <w:sz w:val="32"/>
          <w:szCs w:val="32"/>
        </w:rPr>
        <w:t>三、甲方可在适用法律许可的范围内向乙方另行授予或在信用额度内划定专门用于分期付款、预借现金（含现金提取、现金转账和现金充值，下同）等用途的授信额度。该等授信额度适用本合约项下关于信用额度的任何约定和甲方另行发布的各项规则。</w:t>
      </w:r>
    </w:p>
    <w:p>
      <w:pPr>
        <w:tabs>
          <w:tab w:val="left" w:pos="620"/>
        </w:tabs>
        <w:ind w:firstLine="637" w:firstLineChars="150"/>
        <w:rPr>
          <w:rFonts w:hint="eastAsia" w:ascii="仿宋_GB2312" w:hAnsi="宋体" w:eastAsia="仿宋_GB2312"/>
          <w:bCs/>
          <w:snapToGrid w:val="0"/>
          <w:kern w:val="0"/>
          <w:sz w:val="32"/>
          <w:szCs w:val="32"/>
        </w:rPr>
      </w:pPr>
      <w:r>
        <w:rPr>
          <w:rFonts w:hint="eastAsia" w:ascii="仿宋_GB2312" w:hAnsi="宋体" w:eastAsia="仿宋_GB2312"/>
          <w:bCs/>
          <w:snapToGrid w:val="0"/>
          <w:kern w:val="0"/>
          <w:sz w:val="32"/>
          <w:szCs w:val="32"/>
        </w:rPr>
        <w:t>乙方经甲方许可办理信用卡分期付款、积分交易和兑换、刷卡金、电子现金或其他特殊业务，应遵守甲方另行发布的各项规则。</w:t>
      </w:r>
    </w:p>
    <w:p>
      <w:pPr>
        <w:tabs>
          <w:tab w:val="left" w:pos="620"/>
        </w:tabs>
        <w:ind w:firstLine="637" w:firstLineChars="150"/>
        <w:rPr>
          <w:rFonts w:hint="eastAsia" w:ascii="仿宋_GB2312" w:hAnsi="宋体" w:eastAsia="仿宋_GB2312"/>
          <w:bCs/>
          <w:snapToGrid w:val="0"/>
          <w:kern w:val="0"/>
          <w:sz w:val="32"/>
          <w:szCs w:val="32"/>
        </w:rPr>
      </w:pPr>
      <w:r>
        <w:rPr>
          <w:rFonts w:hint="eastAsia" w:ascii="仿宋_GB2312" w:hAnsi="宋体" w:eastAsia="仿宋_GB2312"/>
          <w:bCs/>
          <w:snapToGrid w:val="0"/>
          <w:kern w:val="0"/>
          <w:sz w:val="32"/>
          <w:szCs w:val="32"/>
        </w:rPr>
        <w:t>四、甲方可根据乙方的资信状况要求其提供保证、质押等形式的担保。担保范围为乙方因使用心乐卡而发生的全部债务（包括但不限于透支款、本金透支手续费、利息、违约金、分期付款手续费、追索费用等）。所有担保均应符合《中华人民共和国民法典》等相关法律法规有关规定并按甲方认可的担保手续办理。</w:t>
      </w:r>
    </w:p>
    <w:p>
      <w:pPr>
        <w:tabs>
          <w:tab w:val="left" w:pos="620"/>
        </w:tabs>
        <w:ind w:firstLine="637" w:firstLineChars="150"/>
        <w:rPr>
          <w:rFonts w:hint="eastAsia" w:ascii="仿宋_GB2312" w:hAnsi="宋体" w:eastAsia="仿宋_GB2312"/>
          <w:b/>
          <w:snapToGrid w:val="0"/>
          <w:kern w:val="0"/>
          <w:sz w:val="32"/>
          <w:szCs w:val="32"/>
        </w:rPr>
      </w:pPr>
      <w:r>
        <w:rPr>
          <w:rFonts w:hint="eastAsia" w:ascii="仿宋_GB2312" w:hAnsi="宋体" w:eastAsia="仿宋_GB2312"/>
          <w:b/>
          <w:snapToGrid w:val="0"/>
          <w:kern w:val="0"/>
          <w:sz w:val="32"/>
          <w:szCs w:val="32"/>
        </w:rPr>
        <w:t>五、乙方必须通过甲方认可的正规渠道办理心乐卡，否则由此造成的损失，由乙方自行承担，且甲方保留追索乙方责任的权利；给甲方造成损失的，甲方有权依法向乙方进行追索。</w:t>
      </w:r>
    </w:p>
    <w:p>
      <w:pPr>
        <w:tabs>
          <w:tab w:val="left" w:pos="620"/>
        </w:tabs>
        <w:ind w:firstLine="637" w:firstLineChars="150"/>
        <w:jc w:val="center"/>
        <w:rPr>
          <w:rFonts w:hint="eastAsia" w:ascii="仿宋_GB2312" w:hAnsi="宋体" w:eastAsia="仿宋_GB2312"/>
          <w:b/>
          <w:snapToGrid w:val="0"/>
          <w:kern w:val="0"/>
          <w:sz w:val="32"/>
          <w:szCs w:val="32"/>
        </w:rPr>
      </w:pPr>
      <w:r>
        <w:rPr>
          <w:rFonts w:hint="eastAsia" w:ascii="仿宋_GB2312" w:hAnsi="宋体" w:eastAsia="仿宋_GB2312"/>
          <w:b/>
          <w:snapToGrid w:val="0"/>
          <w:kern w:val="0"/>
          <w:sz w:val="32"/>
          <w:szCs w:val="32"/>
        </w:rPr>
        <w:t>第二条 个人信息保护</w:t>
      </w:r>
    </w:p>
    <w:p>
      <w:pPr>
        <w:tabs>
          <w:tab w:val="left" w:pos="620"/>
        </w:tabs>
        <w:ind w:firstLine="637" w:firstLineChars="150"/>
        <w:rPr>
          <w:rFonts w:hint="eastAsia" w:ascii="仿宋_GB2312" w:hAnsi="宋体" w:eastAsia="仿宋_GB2312"/>
          <w:b/>
          <w:snapToGrid w:val="0"/>
          <w:kern w:val="0"/>
          <w:sz w:val="32"/>
          <w:szCs w:val="32"/>
        </w:rPr>
      </w:pPr>
      <w:r>
        <w:rPr>
          <w:rFonts w:hint="eastAsia" w:ascii="仿宋_GB2312" w:hAnsi="宋体" w:eastAsia="仿宋_GB2312"/>
          <w:b/>
          <w:snapToGrid w:val="0"/>
          <w:kern w:val="0"/>
          <w:sz w:val="32"/>
          <w:szCs w:val="32"/>
        </w:rPr>
        <w:t>一、乙方完全同意甲方对其留存在甲方处的个人姓名、手机号、身份证号、银行卡号等进行一致性比对，并将该核验结果输出给收单机构、第三方支付平台或上送账户验证交易的中国银联等清算机构。</w:t>
      </w:r>
    </w:p>
    <w:p>
      <w:pPr>
        <w:tabs>
          <w:tab w:val="left" w:pos="620"/>
        </w:tabs>
        <w:ind w:firstLine="850" w:firstLineChars="200"/>
        <w:rPr>
          <w:rFonts w:hint="eastAsia" w:ascii="仿宋_GB2312" w:hAnsi="宋体" w:eastAsia="仿宋_GB2312"/>
          <w:b/>
          <w:bCs/>
          <w:snapToGrid w:val="0"/>
          <w:color w:val="auto"/>
          <w:kern w:val="0"/>
          <w:sz w:val="30"/>
          <w:szCs w:val="30"/>
          <w:highlight w:val="none"/>
          <w:shd w:val="clear" w:color="auto" w:fill="auto"/>
          <w:lang w:val="en-US" w:eastAsia="zh-CN"/>
        </w:rPr>
      </w:pPr>
      <w:r>
        <w:rPr>
          <w:rFonts w:hint="eastAsia" w:ascii="仿宋_GB2312" w:hAnsi="宋体" w:eastAsia="仿宋_GB2312"/>
          <w:b/>
          <w:snapToGrid w:val="0"/>
          <w:kern w:val="0"/>
          <w:sz w:val="32"/>
          <w:szCs w:val="32"/>
        </w:rPr>
        <w:t>二、在不违反法律和行政法规的禁止性规定的前提下，乙方同意并授权甲方向金融信用信息基础数据库和其他合法设立的征信机构查询乙方在其中的全部信用信息及信用报告，向有关部门、单位和个人了解乙方的身份、财产和其他有关信息（包括但不限于学历、职业、缴纳社会保险和住房公积金，拥有机动车、房地产或金融资产等信息）；甲方有权为审核领卡申请、核定或调整信用额度、开展贷后管理、进行异议处理和清收应还款项等目的，查询、了解、保留和使用上述信息。乙方同意并授权甲方向金融信用信息基础数据库报送其个人信用信息（包含违约信息）。若甲方出于为乙方提供与心乐卡有关服务的目的，</w:t>
      </w:r>
      <w:r>
        <w:rPr>
          <w:rFonts w:hint="eastAsia" w:ascii="仿宋_GB2312" w:hAnsi="宋体" w:eastAsia="仿宋_GB2312"/>
          <w:b/>
          <w:bCs/>
          <w:snapToGrid w:val="0"/>
          <w:color w:val="auto"/>
          <w:kern w:val="0"/>
          <w:sz w:val="30"/>
          <w:szCs w:val="30"/>
        </w:rPr>
        <w:t>乙方同意甲方将其资料</w:t>
      </w:r>
      <w:r>
        <w:rPr>
          <w:rFonts w:hint="eastAsia" w:ascii="仿宋_GB2312" w:hAnsi="宋体" w:eastAsia="仿宋_GB2312"/>
          <w:b/>
          <w:bCs/>
          <w:snapToGrid w:val="0"/>
          <w:color w:val="auto"/>
          <w:kern w:val="0"/>
          <w:sz w:val="30"/>
          <w:szCs w:val="30"/>
          <w:lang w:val="en-US" w:eastAsia="zh-CN"/>
        </w:rPr>
        <w:t>及信用情况（</w:t>
      </w:r>
      <w:r>
        <w:rPr>
          <w:rFonts w:hint="eastAsia" w:ascii="仿宋_GB2312" w:hAnsi="宋体" w:eastAsia="仿宋_GB2312"/>
          <w:b/>
          <w:bCs/>
          <w:snapToGrid w:val="0"/>
          <w:color w:val="auto"/>
          <w:kern w:val="0"/>
          <w:sz w:val="30"/>
          <w:szCs w:val="30"/>
          <w:highlight w:val="none"/>
          <w:lang w:val="en-US" w:eastAsia="zh-CN"/>
        </w:rPr>
        <w:t>包括个人基本情况、个人信贷交易信息以及反映个人信用状况的其他信息）</w:t>
      </w:r>
      <w:r>
        <w:rPr>
          <w:rFonts w:hint="eastAsia" w:ascii="仿宋_GB2312" w:hAnsi="宋体" w:eastAsia="仿宋_GB2312"/>
          <w:b/>
          <w:bCs/>
          <w:snapToGrid w:val="0"/>
          <w:color w:val="auto"/>
          <w:kern w:val="0"/>
          <w:sz w:val="30"/>
          <w:szCs w:val="30"/>
          <w:highlight w:val="none"/>
        </w:rPr>
        <w:t>披露给甲方认为必需的第三方</w:t>
      </w:r>
      <w:r>
        <w:rPr>
          <w:rFonts w:hint="eastAsia" w:ascii="仿宋_GB2312" w:hAnsi="宋体" w:eastAsia="仿宋_GB2312"/>
          <w:b/>
          <w:bCs/>
          <w:snapToGrid w:val="0"/>
          <w:color w:val="auto"/>
          <w:kern w:val="0"/>
          <w:sz w:val="30"/>
          <w:szCs w:val="30"/>
          <w:highlight w:val="none"/>
          <w:lang w:eastAsia="zh-CN"/>
        </w:rPr>
        <w:t>，</w:t>
      </w:r>
      <w:r>
        <w:rPr>
          <w:rFonts w:hint="eastAsia" w:ascii="仿宋_GB2312" w:hAnsi="宋体" w:eastAsia="仿宋_GB2312"/>
          <w:b/>
          <w:bCs/>
          <w:snapToGrid w:val="0"/>
          <w:color w:val="auto"/>
          <w:kern w:val="0"/>
          <w:sz w:val="30"/>
          <w:szCs w:val="30"/>
          <w:highlight w:val="none"/>
          <w:lang w:val="en-US" w:eastAsia="zh-CN"/>
        </w:rPr>
        <w:t>包</w:t>
      </w:r>
      <w:r>
        <w:rPr>
          <w:rFonts w:hint="eastAsia" w:ascii="仿宋_GB2312" w:hAnsi="宋体" w:eastAsia="仿宋_GB2312"/>
          <w:b/>
          <w:bCs/>
          <w:snapToGrid w:val="0"/>
          <w:color w:val="auto"/>
          <w:kern w:val="0"/>
          <w:sz w:val="30"/>
          <w:szCs w:val="30"/>
          <w:highlight w:val="none"/>
          <w:shd w:val="clear" w:color="auto" w:fill="auto"/>
          <w:lang w:val="en-US" w:eastAsia="zh-CN"/>
        </w:rPr>
        <w:t>括但不限于甲方分支机构、控股子公司、甲方的服务机构、代理人、外包作业机构、联名合作方以及相关资信机构。</w:t>
      </w:r>
    </w:p>
    <w:p>
      <w:pPr>
        <w:tabs>
          <w:tab w:val="left" w:pos="620"/>
        </w:tabs>
        <w:ind w:firstLine="637" w:firstLineChars="150"/>
        <w:rPr>
          <w:rFonts w:hint="eastAsia" w:ascii="仿宋_GB2312" w:hAnsi="宋体" w:eastAsia="仿宋_GB2312"/>
          <w:b/>
          <w:snapToGrid w:val="0"/>
          <w:kern w:val="0"/>
          <w:sz w:val="32"/>
          <w:szCs w:val="32"/>
        </w:rPr>
      </w:pPr>
      <w:r>
        <w:rPr>
          <w:rFonts w:hint="eastAsia" w:ascii="仿宋_GB2312" w:hAnsi="宋体" w:eastAsia="仿宋_GB2312"/>
          <w:b/>
          <w:snapToGrid w:val="0"/>
          <w:kern w:val="0"/>
          <w:sz w:val="32"/>
          <w:szCs w:val="32"/>
        </w:rPr>
        <w:t>三、如乙方撤回上述其同意的，须通过甲方的全国统一客服热线（95343）或书面形式主动通知甲方，否则视为未发生变动。在乙方撤回上述同意的情况下，甲方有权利根据业务办理的实际需要而终止相关服务。如乙方对上述同意有任何疑问、意见或建议，请联系甲方的全国统一客服热线（95343）或营业网点。</w:t>
      </w:r>
    </w:p>
    <w:p>
      <w:pPr>
        <w:pStyle w:val="20"/>
        <w:spacing w:line="240" w:lineRule="auto"/>
        <w:rPr>
          <w:rFonts w:hint="eastAsia" w:ascii="仿宋_GB2312" w:eastAsia="仿宋_GB2312"/>
          <w:snapToGrid w:val="0"/>
        </w:rPr>
      </w:pPr>
      <w:r>
        <w:rPr>
          <w:rFonts w:hint="eastAsia" w:ascii="仿宋_GB2312" w:eastAsia="仿宋_GB2312"/>
          <w:snapToGrid w:val="0"/>
        </w:rPr>
        <w:t>第三条  收费和计息</w:t>
      </w:r>
    </w:p>
    <w:p>
      <w:pPr>
        <w:tabs>
          <w:tab w:val="left" w:pos="620"/>
        </w:tabs>
        <w:ind w:firstLine="637" w:firstLineChars="150"/>
        <w:rPr>
          <w:rFonts w:hint="eastAsia"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一、乙方授权并同意甲方自动将其心乐卡项下发生的所有透支交易（包括但不限于消费、预借现金等）办理“心乐分”分期付款业务（下简称心乐分），乙方只需每月归还万分之一的透支本金和心乐分本金透支手续费（下简称“心乐分手续费”），并在分期到期日归还剩余欠款。心乐分手续费，从透支交易记账日起至实际还款日止，按日计收，以账单期为周期在账单日统一收取。乙方使用贷记账户（下称主账户）进行指定圈存转出或非指定圈存转出的，对主账户而言，交易视同消费。</w:t>
      </w:r>
    </w:p>
    <w:p>
      <w:pPr>
        <w:tabs>
          <w:tab w:val="left" w:pos="620"/>
        </w:tabs>
        <w:ind w:firstLine="637" w:firstLineChars="150"/>
        <w:rPr>
          <w:rFonts w:hint="eastAsia"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二、心乐分每期应还款项，即为该业务的每期最低还款额，主要由上期最低还款额未还部分、当期剩余透支本金的万分之一、分期付款每月应分摊本金和全部的费用、利息组成。</w:t>
      </w:r>
    </w:p>
    <w:p>
      <w:pPr>
        <w:tabs>
          <w:tab w:val="left" w:pos="620"/>
        </w:tabs>
        <w:ind w:firstLine="637" w:firstLineChars="150"/>
        <w:rPr>
          <w:rFonts w:hint="eastAsia"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三、乙方在最后还款日前（含）未偿还或未足额偿还本期心乐分应还款项（即最低还款额）的，将会导致账户逾期，甲方除计收心乐分手续费及相关利息外，还将按最低还款额未还部分的百分之五计收违约金。涉及分期的，乙方任意逾期一期则停止分期，视同分期提前到期。 届时，剩余未还本金、手续费、利息及违约金等将全部计入当期账单，并按约定计算相应透支利息及违约金。</w:t>
      </w:r>
    </w:p>
    <w:p>
      <w:pPr>
        <w:tabs>
          <w:tab w:val="left" w:pos="620"/>
        </w:tabs>
        <w:ind w:firstLine="637" w:firstLineChars="150"/>
        <w:rPr>
          <w:rFonts w:hint="eastAsia" w:ascii="仿宋_GB2312" w:hAnsi="宋体" w:eastAsia="仿宋_GB2312"/>
          <w:b/>
          <w:bCs/>
          <w:snapToGrid w:val="0"/>
          <w:kern w:val="0"/>
          <w:sz w:val="32"/>
          <w:szCs w:val="32"/>
        </w:rPr>
      </w:pPr>
      <w:r>
        <w:rPr>
          <w:rFonts w:hint="eastAsia" w:ascii="仿宋_GB2312" w:hAnsi="宋体" w:eastAsia="仿宋_GB2312"/>
          <w:bCs/>
          <w:snapToGrid w:val="0"/>
          <w:kern w:val="0"/>
          <w:sz w:val="32"/>
          <w:szCs w:val="32"/>
        </w:rPr>
        <w:t>四、对心乐卡贷记账户（下称主账户）内溢缴款，甲方将参考中国人民银行规定的个人活期存款利率及计息办法支付乙方溢缴款利息，即每季末月20日结息，次日入息，并依法代扣个人利息所得税。</w:t>
      </w:r>
      <w:r>
        <w:rPr>
          <w:rFonts w:hint="eastAsia" w:ascii="仿宋_GB2312" w:hAnsi="宋体" w:eastAsia="仿宋_GB2312"/>
          <w:b/>
          <w:bCs/>
          <w:snapToGrid w:val="0"/>
          <w:kern w:val="0"/>
          <w:sz w:val="32"/>
          <w:szCs w:val="32"/>
        </w:rPr>
        <w:t>对支持电子现金账户的心乐卡，电子现金账户余额不计付存款利息。</w:t>
      </w:r>
    </w:p>
    <w:p>
      <w:pPr>
        <w:tabs>
          <w:tab w:val="left" w:pos="620"/>
        </w:tabs>
        <w:ind w:firstLine="637" w:firstLineChars="150"/>
        <w:rPr>
          <w:rFonts w:hint="eastAsia"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五、乙方使用心乐卡需按甲方对外公布的服务收费价格支付相关费用，包括补换卡手续费、分期付款手续费率、本金透支手续费率以及消费、预借现金等交易产生的各项费用，由甲方直接计扣乙方心乐卡账户。</w:t>
      </w:r>
    </w:p>
    <w:p>
      <w:pPr>
        <w:tabs>
          <w:tab w:val="left" w:pos="620"/>
        </w:tabs>
        <w:ind w:firstLine="637" w:firstLineChars="150"/>
        <w:rPr>
          <w:rFonts w:hint="eastAsia"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六、心乐卡所发生的各种收费款项、利率标准等内容均以甲方对外公布的最新公告为准，详见浙江民泰商业银行官网（</w:t>
      </w:r>
      <w:r>
        <w:fldChar w:fldCharType="begin"/>
      </w:r>
      <w:r>
        <w:instrText xml:space="preserve"> HYPERLINK "http://www.mintaibank.com" </w:instrText>
      </w:r>
      <w:r>
        <w:fldChar w:fldCharType="separate"/>
      </w:r>
      <w:r>
        <w:rPr>
          <w:rFonts w:hint="eastAsia" w:ascii="仿宋_GB2312" w:hAnsi="宋体" w:eastAsia="仿宋_GB2312"/>
          <w:b/>
          <w:bCs/>
          <w:snapToGrid w:val="0"/>
          <w:kern w:val="0"/>
          <w:sz w:val="32"/>
          <w:szCs w:val="32"/>
        </w:rPr>
        <w:t>www.mintaibank.com</w:t>
      </w:r>
      <w:r>
        <w:rPr>
          <w:rFonts w:hint="eastAsia" w:ascii="仿宋_GB2312" w:hAnsi="宋体" w:eastAsia="仿宋_GB2312"/>
          <w:b/>
          <w:bCs/>
          <w:snapToGrid w:val="0"/>
          <w:kern w:val="0"/>
          <w:sz w:val="32"/>
          <w:szCs w:val="32"/>
        </w:rPr>
        <w:fldChar w:fldCharType="end"/>
      </w:r>
      <w:r>
        <w:rPr>
          <w:rFonts w:hint="eastAsia" w:ascii="仿宋_GB2312" w:hAnsi="宋体" w:eastAsia="仿宋_GB2312"/>
          <w:b/>
          <w:bCs/>
          <w:snapToGrid w:val="0"/>
          <w:kern w:val="0"/>
          <w:sz w:val="32"/>
          <w:szCs w:val="32"/>
        </w:rPr>
        <w:t>）的服务价格价目表；服务价格价目表未涉及的，以相关最新公告为准。</w:t>
      </w:r>
    </w:p>
    <w:p>
      <w:pPr>
        <w:autoSpaceDE w:val="0"/>
        <w:autoSpaceDN w:val="0"/>
        <w:adjustRightInd w:val="0"/>
        <w:ind w:firstLine="637" w:firstLineChars="150"/>
        <w:jc w:val="left"/>
        <w:rPr>
          <w:rFonts w:hint="eastAsia" w:ascii="仿宋_GB2312" w:hAnsi="宋体" w:eastAsia="仿宋_GB2312"/>
          <w:b/>
          <w:bCs/>
          <w:snapToGrid w:val="0"/>
          <w:kern w:val="0"/>
          <w:sz w:val="32"/>
          <w:szCs w:val="32"/>
        </w:rPr>
      </w:pPr>
      <w:r>
        <w:rPr>
          <w:rFonts w:hint="eastAsia" w:ascii="仿宋_GB2312" w:hAnsi="宋体" w:eastAsia="仿宋_GB2312"/>
          <w:b/>
          <w:snapToGrid w:val="0"/>
          <w:kern w:val="0"/>
          <w:sz w:val="32"/>
          <w:szCs w:val="32"/>
        </w:rPr>
        <w:t>七、乙方同意，甲方可在适用法律许可的范围内随时将其在本合约项下的任何权利或义务转让给任何第三方，而无需事先征得乙方同意。</w:t>
      </w:r>
    </w:p>
    <w:p>
      <w:pPr>
        <w:autoSpaceDE w:val="0"/>
        <w:autoSpaceDN w:val="0"/>
        <w:adjustRightInd w:val="0"/>
        <w:jc w:val="center"/>
        <w:rPr>
          <w:rFonts w:hint="eastAsia" w:ascii="仿宋_GB2312" w:eastAsia="仿宋_GB2312"/>
          <w:snapToGrid w:val="0"/>
          <w:sz w:val="32"/>
          <w:szCs w:val="32"/>
        </w:rPr>
      </w:pPr>
      <w:r>
        <w:rPr>
          <w:rFonts w:hint="eastAsia" w:ascii="仿宋_GB2312" w:eastAsia="仿宋_GB2312"/>
          <w:snapToGrid w:val="0"/>
          <w:sz w:val="32"/>
          <w:szCs w:val="32"/>
        </w:rPr>
        <w:t>第四条  使 用</w:t>
      </w:r>
    </w:p>
    <w:p>
      <w:pPr>
        <w:autoSpaceDE w:val="0"/>
        <w:autoSpaceDN w:val="0"/>
        <w:adjustRightInd w:val="0"/>
        <w:ind w:firstLine="637" w:firstLineChars="150"/>
        <w:jc w:val="left"/>
        <w:rPr>
          <w:rFonts w:hint="eastAsia" w:ascii="仿宋_GB2312" w:hAnsi="宋体" w:eastAsia="仿宋_GB2312"/>
          <w:b/>
          <w:bCs/>
          <w:snapToGrid w:val="0"/>
          <w:kern w:val="0"/>
          <w:sz w:val="32"/>
          <w:szCs w:val="32"/>
        </w:rPr>
      </w:pPr>
      <w:r>
        <w:rPr>
          <w:rFonts w:hint="eastAsia" w:ascii="仿宋_GB2312" w:hAnsi="宋体" w:eastAsia="仿宋_GB2312"/>
          <w:bCs/>
          <w:snapToGrid w:val="0"/>
          <w:kern w:val="0"/>
          <w:sz w:val="32"/>
          <w:szCs w:val="32"/>
        </w:rPr>
        <w:t>一、乙方在获准申领心乐卡后，心乐卡主账户即具备在甲方营业网点柜台、ATM等自助设备、网上银行、微信银行、手机银行、电话银行等渠道，及境内外（境内指中国大陆地区，不含香港特别行政区、澳门特别行政区和台湾地区，下同）带有“银联”标识的机具上进行消费、分期付款、预借现金、查询、还款等交易的全部或部分功能。</w:t>
      </w:r>
      <w:r>
        <w:rPr>
          <w:rFonts w:hint="eastAsia" w:ascii="仿宋_GB2312" w:hAnsi="宋体" w:eastAsia="仿宋_GB2312"/>
          <w:b/>
          <w:snapToGrid w:val="0"/>
          <w:kern w:val="0"/>
          <w:sz w:val="32"/>
          <w:szCs w:val="32"/>
        </w:rPr>
        <w:t>甲方可通过电话、短信、电子邮箱等方式向乙方及其附属卡持有人（如有）发送业务推送等商业信息。</w:t>
      </w:r>
      <w:r>
        <w:rPr>
          <w:rFonts w:hint="eastAsia" w:ascii="仿宋_GB2312" w:hAnsi="宋体" w:eastAsia="仿宋_GB2312"/>
          <w:b/>
          <w:bCs/>
          <w:snapToGrid w:val="0"/>
          <w:kern w:val="0"/>
          <w:sz w:val="32"/>
          <w:szCs w:val="32"/>
        </w:rPr>
        <w:t>乙方须妥善保管心乐卡卡片；不得将包括但不限于卡号、有效期、安全码、验证码等卡片信息、个人身份信息、交易凭证以及有关密码、验证码等验证信息泄漏或提供给他人。因上述卡片信息保管不善造成的损失和相关责任应由乙方自行承担。</w:t>
      </w:r>
    </w:p>
    <w:p>
      <w:pPr>
        <w:autoSpaceDE w:val="0"/>
        <w:autoSpaceDN w:val="0"/>
        <w:adjustRightInd w:val="0"/>
        <w:ind w:firstLine="637" w:firstLineChars="150"/>
        <w:jc w:val="left"/>
        <w:rPr>
          <w:rFonts w:hint="eastAsia" w:ascii="仿宋_GB2312" w:hAnsi="宋体" w:eastAsia="仿宋_GB2312"/>
          <w:bCs/>
          <w:snapToGrid w:val="0"/>
          <w:kern w:val="0"/>
          <w:sz w:val="32"/>
          <w:szCs w:val="32"/>
        </w:rPr>
      </w:pPr>
      <w:r>
        <w:rPr>
          <w:rFonts w:hint="eastAsia" w:ascii="仿宋_GB2312" w:hAnsi="宋体" w:eastAsia="仿宋_GB2312"/>
          <w:bCs/>
          <w:snapToGrid w:val="0"/>
          <w:kern w:val="0"/>
          <w:sz w:val="32"/>
          <w:szCs w:val="32"/>
        </w:rPr>
        <w:t>以IC卡为介质的心乐卡除主账户外，还包括电子现金账户。电子现金账户记名、不挂失，具备境内小额快速支付、查询、充值、脱机消费等交易的全部或部分功能，不具备透支、存款计息、转出、取现等功能。</w:t>
      </w:r>
    </w:p>
    <w:p>
      <w:pPr>
        <w:autoSpaceDE w:val="0"/>
        <w:autoSpaceDN w:val="0"/>
        <w:adjustRightInd w:val="0"/>
        <w:ind w:firstLine="637" w:firstLineChars="150"/>
        <w:jc w:val="left"/>
        <w:rPr>
          <w:rFonts w:hint="eastAsia" w:ascii="仿宋_GB2312" w:hAnsi="宋体" w:eastAsia="仿宋_GB2312"/>
          <w:bCs/>
          <w:snapToGrid w:val="0"/>
          <w:kern w:val="0"/>
          <w:sz w:val="32"/>
          <w:szCs w:val="32"/>
        </w:rPr>
      </w:pPr>
      <w:r>
        <w:rPr>
          <w:rFonts w:hint="eastAsia" w:ascii="仿宋_GB2312" w:hAnsi="宋体" w:eastAsia="仿宋_GB2312"/>
          <w:bCs/>
          <w:snapToGrid w:val="0"/>
          <w:kern w:val="0"/>
          <w:sz w:val="32"/>
          <w:szCs w:val="32"/>
        </w:rPr>
        <w:t>若无特殊说明，本《合约》所述交易均默认为主账户交易。</w:t>
      </w:r>
    </w:p>
    <w:p>
      <w:pPr>
        <w:autoSpaceDE w:val="0"/>
        <w:autoSpaceDN w:val="0"/>
        <w:adjustRightInd w:val="0"/>
        <w:ind w:firstLine="637" w:firstLineChars="150"/>
        <w:jc w:val="left"/>
        <w:rPr>
          <w:rFonts w:hint="eastAsia" w:ascii="仿宋_GB2312" w:hAnsi="宋体" w:eastAsia="仿宋_GB2312"/>
          <w:bCs/>
          <w:snapToGrid w:val="0"/>
          <w:kern w:val="0"/>
          <w:sz w:val="32"/>
          <w:szCs w:val="32"/>
        </w:rPr>
      </w:pPr>
      <w:r>
        <w:rPr>
          <w:rFonts w:hint="eastAsia" w:ascii="仿宋_GB2312" w:hAnsi="宋体" w:eastAsia="仿宋_GB2312"/>
          <w:bCs/>
          <w:snapToGrid w:val="0"/>
          <w:kern w:val="0"/>
          <w:sz w:val="32"/>
          <w:szCs w:val="32"/>
        </w:rPr>
        <w:t>二、心乐卡只限于乙方进行日常购物、大宗消费、接受服务等消费或预借现金。乙方不得利用民泰心乐卡进行虚假交易等欺诈活动套取银行信贷资金、积分、奖品或增值服务。乙方不得将心乐卡用作任何其他用途。预借现金款项仅用于合理、合规的消费领域，不得进入证券市场、股本权益性投资及房地产开发等非消费领域。</w:t>
      </w:r>
    </w:p>
    <w:p>
      <w:pPr>
        <w:autoSpaceDE w:val="0"/>
        <w:autoSpaceDN w:val="0"/>
        <w:adjustRightInd w:val="0"/>
        <w:ind w:firstLine="637" w:firstLineChars="150"/>
        <w:jc w:val="left"/>
        <w:rPr>
          <w:rFonts w:hint="eastAsia" w:ascii="仿宋_GB2312" w:hAnsi="宋体" w:eastAsia="仿宋_GB2312"/>
          <w:bCs/>
          <w:snapToGrid w:val="0"/>
          <w:kern w:val="0"/>
          <w:sz w:val="32"/>
          <w:szCs w:val="32"/>
        </w:rPr>
      </w:pPr>
      <w:r>
        <w:rPr>
          <w:rFonts w:hint="eastAsia" w:ascii="仿宋_GB2312" w:hAnsi="宋体" w:eastAsia="仿宋_GB2312"/>
          <w:bCs/>
          <w:snapToGrid w:val="0"/>
          <w:kern w:val="0"/>
          <w:sz w:val="32"/>
          <w:szCs w:val="32"/>
        </w:rPr>
        <w:t>三、对于乙方因任何不当使用心乐卡而直接或间接蒙受的损失或损害，甲方不承担任何责任。</w:t>
      </w:r>
    </w:p>
    <w:p>
      <w:pPr>
        <w:autoSpaceDE w:val="0"/>
        <w:autoSpaceDN w:val="0"/>
        <w:adjustRightInd w:val="0"/>
        <w:ind w:firstLine="637" w:firstLineChars="150"/>
        <w:jc w:val="left"/>
        <w:rPr>
          <w:rFonts w:hint="eastAsia"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四、乙方收到心乐卡后，应立即在卡片背面签名条上，按照乙方在《浙江民泰商业银行民泰心乐卡个人申请表》（下称《申请表》）上留存的签名样式签名，并在卡片交易时使用相同的签名，否则，由此产生的法律责任及相应损失由乙方承担。</w:t>
      </w:r>
      <w:r>
        <w:rPr>
          <w:rFonts w:hint="eastAsia" w:ascii="仿宋_GB2312" w:hAnsi="宋体" w:eastAsia="仿宋_GB2312"/>
          <w:snapToGrid w:val="0"/>
          <w:kern w:val="0"/>
          <w:sz w:val="32"/>
          <w:szCs w:val="32"/>
        </w:rPr>
        <w:t>同时可通过甲方营业网点、网上银行、微信银行或客服热线95343等甲方认可的方式激活卡片</w:t>
      </w:r>
      <w:r>
        <w:rPr>
          <w:rFonts w:hint="eastAsia" w:ascii="仿宋_GB2312" w:hAnsi="宋体" w:eastAsia="仿宋_GB2312"/>
          <w:b/>
          <w:bCs/>
          <w:snapToGrid w:val="0"/>
          <w:kern w:val="0"/>
          <w:sz w:val="32"/>
          <w:szCs w:val="32"/>
        </w:rPr>
        <w:t>。</w:t>
      </w:r>
    </w:p>
    <w:p>
      <w:pPr>
        <w:autoSpaceDE w:val="0"/>
        <w:autoSpaceDN w:val="0"/>
        <w:adjustRightInd w:val="0"/>
        <w:ind w:firstLine="637" w:firstLineChars="150"/>
        <w:jc w:val="left"/>
        <w:rPr>
          <w:rFonts w:hint="eastAsia"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五、心乐卡主账户除甲方特定的交易外可凭密码交易。乙方可通过甲方认可的方式设立、修改或重置密码。乙方须妥善保管用于ATM等自助设备、电话银行、商户消费、网上银行、手机银行、微信银行及其他有关服务的个人密码。同时，乙方在甲方相关渠道设定的电子银行服务认证要素（包括用户ID、密码、电子证书、USB Key、动态口令、签约的电话号码、短信验证码、个人生物特征等）和身份认证方式，是甲方在提供电子银行服务过程中识别乙方身份的有效依据。凡使用密码等乙方身份认证要素发起并通过身份验证而进行的交易均视为乙方及其附属卡持卡人本人所为。基于乙方签名形成的交易凭证和/或凭心乐卡磁条、芯片、卡号或密码等电子数据和/或卡片信息而办理的各项交易（包括但不限于通过销售点终端、手工受理、电话、手机、短信、互联网等方式进行的心乐卡交易）所产生的信息记录之一或全部均属于该项交易的有效凭据。如有</w:t>
      </w:r>
      <w:r>
        <w:rPr>
          <w:rFonts w:hint="eastAsia" w:ascii="仿宋_GB2312" w:hAnsi="宋体" w:eastAsia="仿宋_GB2312"/>
          <w:b/>
          <w:snapToGrid w:val="0"/>
          <w:kern w:val="0"/>
          <w:sz w:val="32"/>
          <w:szCs w:val="32"/>
        </w:rPr>
        <w:t>关</w:t>
      </w:r>
      <w:r>
        <w:rPr>
          <w:rFonts w:hint="eastAsia" w:ascii="仿宋_GB2312" w:hAnsi="宋体" w:eastAsia="仿宋_GB2312"/>
          <w:b/>
          <w:bCs/>
          <w:snapToGrid w:val="0"/>
          <w:kern w:val="0"/>
          <w:sz w:val="32"/>
          <w:szCs w:val="32"/>
        </w:rPr>
        <w:t>交易确已发生，除非甲方存在法律、法规规定的过错，乙方不得以无交易凭证、交易凭证上签名非本人所为、密码非本人输入或未输入密码等理由拒绝偿付因交易发生的款项。</w:t>
      </w:r>
    </w:p>
    <w:p>
      <w:pPr>
        <w:autoSpaceDE w:val="0"/>
        <w:autoSpaceDN w:val="0"/>
        <w:adjustRightInd w:val="0"/>
        <w:ind w:firstLine="637" w:firstLineChars="150"/>
        <w:jc w:val="left"/>
        <w:rPr>
          <w:rFonts w:hint="eastAsia"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六、</w:t>
      </w:r>
      <w:r>
        <w:rPr>
          <w:rFonts w:hint="eastAsia" w:ascii="仿宋_GB2312" w:hAnsi="宋体" w:eastAsia="仿宋_GB2312"/>
          <w:b/>
          <w:bCs/>
          <w:snapToGrid w:val="0"/>
          <w:color w:val="auto"/>
          <w:kern w:val="0"/>
          <w:sz w:val="32"/>
          <w:szCs w:val="32"/>
          <w:lang w:val="en-US" w:eastAsia="zh-CN"/>
        </w:rPr>
        <w:t>甲方发行的</w:t>
      </w:r>
      <w:r>
        <w:rPr>
          <w:rFonts w:hint="eastAsia" w:ascii="仿宋_GB2312" w:hAnsi="宋体" w:eastAsia="仿宋_GB2312"/>
          <w:b/>
          <w:bCs/>
          <w:snapToGrid w:val="0"/>
          <w:color w:val="auto"/>
          <w:kern w:val="0"/>
          <w:sz w:val="32"/>
          <w:szCs w:val="32"/>
        </w:rPr>
        <w:t>心乐卡</w:t>
      </w:r>
      <w:r>
        <w:rPr>
          <w:rFonts w:hint="eastAsia" w:ascii="仿宋_GB2312" w:hAnsi="宋体" w:eastAsia="仿宋_GB2312"/>
          <w:b/>
          <w:bCs/>
          <w:snapToGrid w:val="0"/>
          <w:color w:val="auto"/>
          <w:kern w:val="0"/>
          <w:sz w:val="32"/>
          <w:szCs w:val="32"/>
          <w:lang w:val="en-US" w:eastAsia="zh-CN"/>
        </w:rPr>
        <w:t>同步</w:t>
      </w:r>
      <w:r>
        <w:rPr>
          <w:rFonts w:hint="eastAsia" w:ascii="仿宋_GB2312" w:hAnsi="宋体" w:eastAsia="仿宋_GB2312"/>
          <w:b/>
          <w:bCs/>
          <w:snapToGrid w:val="0"/>
          <w:color w:val="auto"/>
          <w:kern w:val="0"/>
          <w:sz w:val="32"/>
          <w:szCs w:val="32"/>
        </w:rPr>
        <w:t>开通小额免密免签功能</w:t>
      </w:r>
      <w:r>
        <w:rPr>
          <w:rFonts w:hint="eastAsia" w:ascii="仿宋_GB2312" w:hAnsi="宋体" w:eastAsia="仿宋_GB2312"/>
          <w:b/>
          <w:bCs/>
          <w:snapToGrid w:val="0"/>
          <w:kern w:val="0"/>
          <w:sz w:val="32"/>
          <w:szCs w:val="32"/>
        </w:rPr>
        <w:t>，即在中国大陆地区指定商户的带有“银联”标识的机具上进行小额闪付交易，且交易符合银联小额免密免签闪付交易条件和甲方有关规定时免输密码和免签名。如上述有关交易确已发生，除非甲方存在法律、法规规定的过错，乙方不得以无密码、无签名交易等理由拒绝偿付因交易发生的款项</w:t>
      </w:r>
      <w:r>
        <w:rPr>
          <w:rFonts w:hint="eastAsia" w:ascii="仿宋_GB2312" w:hAnsi="宋体" w:eastAsia="仿宋_GB2312"/>
          <w:b/>
          <w:bCs/>
          <w:snapToGrid w:val="0"/>
          <w:kern w:val="0"/>
          <w:sz w:val="32"/>
          <w:szCs w:val="32"/>
          <w:lang w:eastAsia="zh-CN"/>
        </w:rPr>
        <w:t>。</w:t>
      </w:r>
      <w:r>
        <w:rPr>
          <w:rFonts w:hint="eastAsia" w:ascii="仿宋_GB2312" w:hAnsi="宋体" w:eastAsia="仿宋_GB2312"/>
          <w:b/>
          <w:bCs/>
          <w:snapToGrid w:val="0"/>
          <w:color w:val="auto"/>
          <w:kern w:val="0"/>
          <w:sz w:val="32"/>
          <w:szCs w:val="32"/>
        </w:rPr>
        <w:t>即乙方同意开通中国银联境内闪付小额免密免签功能并对免密免签功能完全认可。</w:t>
      </w:r>
      <w:r>
        <w:rPr>
          <w:rFonts w:hint="eastAsia" w:ascii="仿宋_GB2312" w:hAnsi="宋体" w:eastAsia="仿宋_GB2312"/>
          <w:b/>
          <w:bCs/>
          <w:snapToGrid w:val="0"/>
          <w:color w:val="auto"/>
          <w:kern w:val="0"/>
          <w:sz w:val="32"/>
          <w:szCs w:val="32"/>
          <w:highlight w:val="none"/>
        </w:rPr>
        <w:t>乙方可通过甲方客服热线</w:t>
      </w:r>
      <w:r>
        <w:rPr>
          <w:rFonts w:hint="eastAsia" w:ascii="仿宋_GB2312" w:hAnsi="宋体" w:eastAsia="仿宋_GB2312"/>
          <w:b/>
          <w:bCs/>
          <w:snapToGrid w:val="0"/>
          <w:color w:val="auto"/>
          <w:kern w:val="0"/>
          <w:sz w:val="32"/>
          <w:szCs w:val="32"/>
          <w:highlight w:val="none"/>
          <w:lang w:eastAsia="zh-CN"/>
        </w:rPr>
        <w:t>（</w:t>
      </w:r>
      <w:r>
        <w:rPr>
          <w:rFonts w:hint="eastAsia" w:ascii="仿宋_GB2312" w:hAnsi="宋体" w:eastAsia="仿宋_GB2312"/>
          <w:b/>
          <w:bCs/>
          <w:snapToGrid w:val="0"/>
          <w:color w:val="auto"/>
          <w:kern w:val="0"/>
          <w:sz w:val="32"/>
          <w:szCs w:val="32"/>
          <w:highlight w:val="none"/>
          <w:lang w:val="en-US" w:eastAsia="zh-CN"/>
        </w:rPr>
        <w:t>95343</w:t>
      </w:r>
      <w:r>
        <w:rPr>
          <w:rFonts w:hint="eastAsia" w:ascii="仿宋_GB2312" w:hAnsi="宋体" w:eastAsia="仿宋_GB2312"/>
          <w:b/>
          <w:bCs/>
          <w:snapToGrid w:val="0"/>
          <w:color w:val="auto"/>
          <w:kern w:val="0"/>
          <w:sz w:val="32"/>
          <w:szCs w:val="32"/>
          <w:highlight w:val="none"/>
          <w:lang w:eastAsia="zh-CN"/>
        </w:rPr>
        <w:t>）</w:t>
      </w:r>
      <w:r>
        <w:rPr>
          <w:rFonts w:hint="eastAsia" w:ascii="仿宋_GB2312" w:hAnsi="宋体" w:eastAsia="仿宋_GB2312"/>
          <w:b/>
          <w:bCs/>
          <w:snapToGrid w:val="0"/>
          <w:color w:val="auto"/>
          <w:kern w:val="0"/>
          <w:sz w:val="32"/>
          <w:szCs w:val="32"/>
          <w:highlight w:val="none"/>
        </w:rPr>
        <w:t>、</w:t>
      </w:r>
      <w:r>
        <w:rPr>
          <w:rFonts w:hint="eastAsia" w:ascii="仿宋_GB2312" w:hAnsi="宋体" w:eastAsia="仿宋_GB2312"/>
          <w:b/>
          <w:bCs/>
          <w:snapToGrid w:val="0"/>
          <w:color w:val="auto"/>
          <w:kern w:val="0"/>
          <w:sz w:val="32"/>
          <w:szCs w:val="32"/>
          <w:highlight w:val="none"/>
          <w:lang w:val="en-US" w:eastAsia="zh-CN"/>
        </w:rPr>
        <w:t>手机</w:t>
      </w:r>
      <w:r>
        <w:rPr>
          <w:rFonts w:hint="eastAsia" w:ascii="仿宋_GB2312" w:hAnsi="宋体" w:eastAsia="仿宋_GB2312"/>
          <w:b/>
          <w:bCs/>
          <w:snapToGrid w:val="0"/>
          <w:color w:val="auto"/>
          <w:kern w:val="0"/>
          <w:sz w:val="32"/>
          <w:szCs w:val="32"/>
          <w:highlight w:val="none"/>
        </w:rPr>
        <w:t>银行、营业网点等渠道关闭小额免</w:t>
      </w:r>
      <w:bookmarkStart w:id="0" w:name="_GoBack"/>
      <w:bookmarkEnd w:id="0"/>
      <w:r>
        <w:rPr>
          <w:rFonts w:hint="eastAsia" w:ascii="仿宋_GB2312" w:hAnsi="宋体" w:eastAsia="仿宋_GB2312"/>
          <w:b/>
          <w:bCs/>
          <w:snapToGrid w:val="0"/>
          <w:color w:val="auto"/>
          <w:kern w:val="0"/>
          <w:sz w:val="32"/>
          <w:szCs w:val="32"/>
          <w:highlight w:val="none"/>
        </w:rPr>
        <w:t>密免签功能。</w:t>
      </w:r>
    </w:p>
    <w:p>
      <w:pPr>
        <w:autoSpaceDE w:val="0"/>
        <w:autoSpaceDN w:val="0"/>
        <w:adjustRightInd w:val="0"/>
        <w:ind w:firstLine="637" w:firstLineChars="150"/>
        <w:jc w:val="left"/>
        <w:rPr>
          <w:rFonts w:hint="eastAsia"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七、通过电话银行或视频银行等人工服务办理的业务，不需要乙方及其附属卡持卡人提供电话银行或视频银行密码的，以甲方包括语音或视频等记录在内的所有电子信息记录为乙方及其附属卡持卡人办理业务的有效凭据；需要乙方及其附属卡持卡人提供电话银行或视频银行等密码的，以输入相应密码为乙方及其附属卡持卡人办理业务的有效凭据。通过电话银行或视频银行等自动系统办理的业务，以输入相应密码为乙方及其附属卡持卡人办理业务的有效凭据。</w:t>
      </w:r>
    </w:p>
    <w:p>
      <w:pPr>
        <w:tabs>
          <w:tab w:val="left" w:pos="620"/>
        </w:tabs>
        <w:ind w:firstLine="637" w:firstLineChars="150"/>
        <w:rPr>
          <w:rFonts w:hint="eastAsia" w:ascii="仿宋_GB2312" w:hAnsi="宋体" w:eastAsia="仿宋_GB2312"/>
          <w:b/>
          <w:bCs/>
          <w:snapToGrid w:val="0"/>
          <w:kern w:val="0"/>
          <w:sz w:val="32"/>
          <w:szCs w:val="32"/>
        </w:rPr>
      </w:pPr>
      <w:r>
        <w:rPr>
          <w:rFonts w:hint="eastAsia" w:ascii="仿宋_GB2312" w:hAnsi="宋体" w:eastAsia="仿宋_GB2312"/>
          <w:bCs/>
          <w:snapToGrid w:val="0"/>
          <w:kern w:val="0"/>
          <w:sz w:val="32"/>
          <w:szCs w:val="32"/>
        </w:rPr>
        <w:t>八、含电子现金账户的心乐卡可在境内带有“银联”标识、且支持电子现金业务的商户进行电子现金脱机消费。</w:t>
      </w:r>
      <w:r>
        <w:rPr>
          <w:rFonts w:hint="eastAsia" w:ascii="仿宋_GB2312" w:hAnsi="宋体" w:eastAsia="仿宋_GB2312"/>
          <w:b/>
          <w:bCs/>
          <w:snapToGrid w:val="0"/>
          <w:kern w:val="0"/>
          <w:sz w:val="32"/>
          <w:szCs w:val="32"/>
        </w:rPr>
        <w:t>电子现金脱机消费交易无需密码验证，打印凭证也无须乙方签名确认。电子现金消费不支持退货。所有电子现金交易均视为乙方本人交易，乙方应承担因电子现金交易而产生的责任。通过芯片等电子数据而办理的电子现金交易所产生的信息记录均属于该项交易的有效凭据，如有关交易确已发生，乙方不得拒绝偿付交易款项。</w:t>
      </w:r>
    </w:p>
    <w:p>
      <w:pPr>
        <w:autoSpaceDE w:val="0"/>
        <w:autoSpaceDN w:val="0"/>
        <w:adjustRightInd w:val="0"/>
        <w:ind w:firstLine="637" w:firstLineChars="150"/>
        <w:jc w:val="left"/>
        <w:rPr>
          <w:rFonts w:hint="eastAsia" w:ascii="仿宋_GB2312" w:hAnsi="宋体" w:eastAsia="仿宋_GB2312"/>
          <w:bCs/>
          <w:snapToGrid w:val="0"/>
          <w:kern w:val="0"/>
          <w:sz w:val="32"/>
          <w:szCs w:val="32"/>
        </w:rPr>
      </w:pPr>
      <w:r>
        <w:rPr>
          <w:rFonts w:hint="eastAsia" w:ascii="仿宋_GB2312" w:hAnsi="宋体" w:eastAsia="仿宋_GB2312"/>
          <w:bCs/>
          <w:snapToGrid w:val="0"/>
          <w:kern w:val="0"/>
          <w:sz w:val="32"/>
          <w:szCs w:val="32"/>
        </w:rPr>
        <w:t>电子现金账户余额上限、每次充值交易金额上限均按照中国人民银行和甲方相关规定执行。乙方可在甲方营业网点柜台或通过自助设备查询电子现金账户余额。乙方可前往甲方营业网点柜台或使用甲方提供的自助设备，使用现金、甲方所发行的借记卡或信用卡为乙方的电子现金账户进行充值交易。</w:t>
      </w:r>
    </w:p>
    <w:p>
      <w:pPr>
        <w:autoSpaceDE w:val="0"/>
        <w:autoSpaceDN w:val="0"/>
        <w:adjustRightInd w:val="0"/>
        <w:ind w:firstLine="637" w:firstLineChars="150"/>
        <w:jc w:val="left"/>
        <w:rPr>
          <w:rFonts w:hint="eastAsia"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九、甲方在此提示乙方，若乙方选择无卡环境交易（如互联网、MOTO类交易），乙方应在符合法律法规、监管规定、国家标准和行业惯例的安全技术和商户环境下在互联网、MOTO 类商户（如互联网、邮购、电话购物等无需刷卡完成交易的非面对面刷卡交易商户）上使用心乐卡，并充分了解交易对手、交易背景、交易环境及交易风险等情况，确保交易真实合法，否则乙方应承担因此引致的风险和损失。</w:t>
      </w:r>
    </w:p>
    <w:p>
      <w:pPr>
        <w:autoSpaceDE w:val="0"/>
        <w:autoSpaceDN w:val="0"/>
        <w:adjustRightInd w:val="0"/>
        <w:ind w:firstLine="637" w:firstLineChars="150"/>
        <w:jc w:val="left"/>
        <w:rPr>
          <w:rFonts w:hint="eastAsia" w:ascii="仿宋_GB2312" w:hAnsi="宋体" w:eastAsia="仿宋_GB2312"/>
          <w:bCs/>
          <w:snapToGrid w:val="0"/>
          <w:kern w:val="0"/>
          <w:sz w:val="32"/>
          <w:szCs w:val="32"/>
        </w:rPr>
      </w:pPr>
      <w:r>
        <w:rPr>
          <w:rFonts w:hint="eastAsia" w:ascii="仿宋_GB2312" w:hAnsi="宋体" w:eastAsia="仿宋_GB2312"/>
          <w:bCs/>
          <w:snapToGrid w:val="0"/>
          <w:kern w:val="0"/>
          <w:sz w:val="32"/>
          <w:szCs w:val="32"/>
        </w:rPr>
        <w:t>十、乙方使用心乐卡应按银行监管部门的有关规定和甲方限定的交易限额执行，并且不得用于国家法律、法规所禁止的交易和行为。</w:t>
      </w:r>
      <w:r>
        <w:rPr>
          <w:rFonts w:hint="eastAsia" w:ascii="仿宋_GB2312" w:hAnsi="宋体" w:eastAsia="仿宋_GB2312"/>
          <w:b/>
          <w:bCs/>
          <w:snapToGrid w:val="0"/>
          <w:kern w:val="0"/>
          <w:sz w:val="32"/>
          <w:szCs w:val="32"/>
        </w:rPr>
        <w:t>心乐卡的预借现金额度最高为信用额度的100%，透支消费额度为信用额度的100%；其中通过ATM等自助设备办理的取现业务，每卡每日累计金额不得超过人民币1万元。乙方单笔或单日累计透支金额人民币30万元以上的交易，甲方可要求持卡人提供资金用途证明，否则甲方有权提前全额收回</w:t>
      </w:r>
      <w:r>
        <w:rPr>
          <w:rFonts w:hint="eastAsia" w:ascii="仿宋_GB2312" w:hAnsi="宋体" w:eastAsia="仿宋_GB2312"/>
          <w:b/>
          <w:snapToGrid w:val="0"/>
          <w:kern w:val="0"/>
          <w:sz w:val="32"/>
          <w:szCs w:val="32"/>
        </w:rPr>
        <w:t>透支本息及相关应缴款项</w:t>
      </w:r>
      <w:r>
        <w:rPr>
          <w:rFonts w:hint="eastAsia" w:ascii="仿宋_GB2312" w:hAnsi="宋体" w:eastAsia="仿宋_GB2312"/>
          <w:b/>
          <w:bCs/>
          <w:snapToGrid w:val="0"/>
          <w:kern w:val="0"/>
          <w:sz w:val="32"/>
          <w:szCs w:val="32"/>
        </w:rPr>
        <w:t>。</w:t>
      </w:r>
    </w:p>
    <w:p>
      <w:pPr>
        <w:tabs>
          <w:tab w:val="left" w:pos="620"/>
        </w:tabs>
        <w:ind w:firstLine="637" w:firstLineChars="150"/>
        <w:rPr>
          <w:rFonts w:hint="eastAsia" w:ascii="仿宋_GB2312" w:hAnsi="宋体" w:eastAsia="仿宋_GB2312"/>
          <w:b/>
          <w:snapToGrid w:val="0"/>
          <w:kern w:val="0"/>
          <w:sz w:val="32"/>
          <w:szCs w:val="32"/>
        </w:rPr>
      </w:pPr>
      <w:r>
        <w:rPr>
          <w:rFonts w:hint="eastAsia" w:ascii="仿宋_GB2312" w:hAnsi="宋体" w:eastAsia="仿宋_GB2312"/>
          <w:b/>
          <w:snapToGrid w:val="0"/>
          <w:kern w:val="0"/>
          <w:sz w:val="32"/>
          <w:szCs w:val="32"/>
        </w:rPr>
        <w:t>十一、心乐卡在境外国家和地区（包括港澳台）使用时交易币种为当地货币，并由中国银联按当日外汇牌价统一以人民币结算。</w:t>
      </w:r>
    </w:p>
    <w:p>
      <w:pPr>
        <w:autoSpaceDE w:val="0"/>
        <w:autoSpaceDN w:val="0"/>
        <w:adjustRightInd w:val="0"/>
        <w:ind w:firstLine="637" w:firstLineChars="150"/>
        <w:jc w:val="left"/>
        <w:rPr>
          <w:rFonts w:hint="eastAsia" w:ascii="仿宋_GB2312" w:hAnsi="宋体" w:eastAsia="仿宋_GB2312"/>
          <w:bCs/>
          <w:snapToGrid w:val="0"/>
          <w:kern w:val="0"/>
          <w:sz w:val="32"/>
          <w:szCs w:val="32"/>
        </w:rPr>
      </w:pPr>
      <w:r>
        <w:rPr>
          <w:rFonts w:hint="eastAsia" w:ascii="仿宋_GB2312" w:hAnsi="宋体" w:eastAsia="仿宋_GB2312"/>
          <w:bCs/>
          <w:snapToGrid w:val="0"/>
          <w:kern w:val="0"/>
          <w:sz w:val="32"/>
          <w:szCs w:val="32"/>
        </w:rPr>
        <w:t>十二、对于到期续卡、补卡、换卡，即使新卡未激活，旧卡已形成的债权债务关系仍继续有效。</w:t>
      </w:r>
    </w:p>
    <w:p>
      <w:pPr>
        <w:tabs>
          <w:tab w:val="left" w:pos="620"/>
        </w:tabs>
        <w:ind w:firstLine="637" w:firstLineChars="150"/>
        <w:rPr>
          <w:rFonts w:hint="eastAsia" w:ascii="仿宋_GB2312" w:hAnsi="宋体" w:eastAsia="仿宋_GB2312"/>
          <w:bCs/>
          <w:snapToGrid w:val="0"/>
          <w:kern w:val="0"/>
          <w:sz w:val="32"/>
          <w:szCs w:val="32"/>
        </w:rPr>
      </w:pPr>
      <w:r>
        <w:rPr>
          <w:rFonts w:hint="eastAsia" w:ascii="仿宋_GB2312" w:hAnsi="宋体" w:eastAsia="仿宋_GB2312"/>
          <w:bCs/>
          <w:snapToGrid w:val="0"/>
          <w:kern w:val="0"/>
          <w:sz w:val="32"/>
          <w:szCs w:val="32"/>
        </w:rPr>
        <w:t>十三、心乐卡核发后</w:t>
      </w:r>
      <w:r>
        <w:rPr>
          <w:rFonts w:hint="eastAsia" w:ascii="仿宋_GB2312" w:hAnsi="宋体" w:eastAsia="仿宋_GB2312"/>
          <w:b/>
          <w:snapToGrid w:val="0"/>
          <w:kern w:val="0"/>
          <w:sz w:val="32"/>
          <w:szCs w:val="32"/>
        </w:rPr>
        <w:t>，甲方有权对乙方的信用额度进行评估，随时根据乙方资信状况、用卡情况和风险信息对信用额度和使用期限进行调整。</w:t>
      </w:r>
      <w:r>
        <w:rPr>
          <w:rFonts w:hint="eastAsia" w:ascii="仿宋_GB2312" w:hAnsi="宋体" w:eastAsia="仿宋_GB2312"/>
          <w:bCs/>
          <w:snapToGrid w:val="0"/>
          <w:kern w:val="0"/>
          <w:sz w:val="32"/>
          <w:szCs w:val="32"/>
        </w:rPr>
        <w:t>乙方亦可申请调整信用额度和使用期限，调整与否及幅度由甲方决定。信用额度和使用期限一经甲方调整即生效，甲方应通过对账单、短信、微信或其他方式及时通知乙方。乙方如不接受信用额度调升或使用期限调长的，应在10个自然日内通知甲方并要求恢复其原有账户信用额度。除甲方有适用法律认定的过错外，</w:t>
      </w:r>
      <w:r>
        <w:rPr>
          <w:rFonts w:hint="eastAsia" w:ascii="仿宋_GB2312" w:hAnsi="宋体" w:eastAsia="仿宋_GB2312"/>
          <w:b/>
          <w:snapToGrid w:val="0"/>
          <w:kern w:val="0"/>
          <w:sz w:val="32"/>
          <w:szCs w:val="32"/>
        </w:rPr>
        <w:t>乙方不得以未经同意或未收到通知为由，要求甲方就信用额度调整承担责任。</w:t>
      </w:r>
    </w:p>
    <w:p>
      <w:pPr>
        <w:tabs>
          <w:tab w:val="left" w:pos="620"/>
        </w:tabs>
        <w:ind w:firstLine="637" w:firstLineChars="150"/>
        <w:rPr>
          <w:rFonts w:hint="eastAsia" w:ascii="仿宋_GB2312" w:hAnsi="宋体" w:eastAsia="仿宋_GB2312"/>
          <w:bCs/>
          <w:snapToGrid w:val="0"/>
          <w:kern w:val="0"/>
          <w:sz w:val="32"/>
          <w:szCs w:val="32"/>
        </w:rPr>
      </w:pPr>
      <w:r>
        <w:rPr>
          <w:rFonts w:hint="eastAsia" w:ascii="仿宋_GB2312" w:hAnsi="宋体" w:eastAsia="仿宋_GB2312"/>
          <w:b/>
          <w:bCs/>
          <w:snapToGrid w:val="0"/>
          <w:kern w:val="0"/>
          <w:sz w:val="32"/>
          <w:szCs w:val="32"/>
        </w:rPr>
        <w:t>十四、甲方按乙方确定的领取方式地址寄出卡片后，即履行完发卡义务。乙方应确保该地址准确无误并能正常收取通知短信，否则因此发生遗失、被窃的风险甲方不承担任何责任。</w:t>
      </w:r>
    </w:p>
    <w:p>
      <w:pPr>
        <w:pStyle w:val="20"/>
        <w:spacing w:line="240" w:lineRule="auto"/>
        <w:rPr>
          <w:rFonts w:hint="eastAsia" w:ascii="仿宋_GB2312" w:eastAsia="仿宋_GB2312"/>
          <w:snapToGrid w:val="0"/>
        </w:rPr>
      </w:pPr>
      <w:r>
        <w:rPr>
          <w:rFonts w:hint="eastAsia" w:ascii="仿宋_GB2312" w:eastAsia="仿宋_GB2312"/>
          <w:snapToGrid w:val="0"/>
        </w:rPr>
        <w:t>第五条  对 账</w:t>
      </w:r>
    </w:p>
    <w:p>
      <w:pPr>
        <w:tabs>
          <w:tab w:val="left" w:pos="620"/>
        </w:tabs>
        <w:ind w:firstLine="637" w:firstLineChars="150"/>
        <w:rPr>
          <w:rFonts w:hint="eastAsia" w:ascii="仿宋_GB2312" w:hAnsi="宋体" w:eastAsia="仿宋_GB2312"/>
          <w:bCs/>
          <w:snapToGrid w:val="0"/>
          <w:kern w:val="0"/>
          <w:sz w:val="32"/>
          <w:szCs w:val="32"/>
        </w:rPr>
      </w:pPr>
      <w:r>
        <w:rPr>
          <w:rFonts w:hint="eastAsia" w:ascii="仿宋_GB2312" w:hAnsi="宋体" w:eastAsia="仿宋_GB2312"/>
          <w:bCs/>
          <w:snapToGrid w:val="0"/>
          <w:kern w:val="0"/>
          <w:sz w:val="32"/>
          <w:szCs w:val="32"/>
        </w:rPr>
        <w:t>一、甲方应按时向乙方按照双方约定的方式提供当期对账服务，包括但不限于纸质、电子邮件等方式，对于含电子现金账户的卡片，</w:t>
      </w:r>
      <w:r>
        <w:rPr>
          <w:rFonts w:hint="eastAsia" w:ascii="仿宋_GB2312" w:hAnsi="宋体" w:eastAsia="仿宋_GB2312"/>
          <w:b/>
          <w:snapToGrid w:val="0"/>
          <w:kern w:val="0"/>
          <w:sz w:val="32"/>
          <w:szCs w:val="32"/>
        </w:rPr>
        <w:t>电子现金账户的交易不列入对账单内容</w:t>
      </w:r>
      <w:r>
        <w:rPr>
          <w:rFonts w:hint="eastAsia" w:ascii="仿宋_GB2312" w:hAnsi="宋体" w:eastAsia="仿宋_GB2312"/>
          <w:bCs/>
          <w:snapToGrid w:val="0"/>
          <w:kern w:val="0"/>
          <w:sz w:val="32"/>
          <w:szCs w:val="32"/>
        </w:rPr>
        <w:t>。若乙方在当期账单内无交易发生且无未清偿款项，或甲方已通过其他方式提供交易记录，或双方另有约定的，则甲方可以不提供当期对账单。</w:t>
      </w:r>
    </w:p>
    <w:p>
      <w:pPr>
        <w:autoSpaceDE w:val="0"/>
        <w:autoSpaceDN w:val="0"/>
        <w:adjustRightInd w:val="0"/>
        <w:ind w:firstLine="637" w:firstLineChars="150"/>
        <w:jc w:val="left"/>
        <w:rPr>
          <w:rFonts w:hint="eastAsia" w:ascii="仿宋_GB2312" w:hAnsi="宋体" w:eastAsia="仿宋_GB2312"/>
          <w:b/>
          <w:snapToGrid w:val="0"/>
          <w:kern w:val="0"/>
          <w:sz w:val="32"/>
          <w:szCs w:val="32"/>
        </w:rPr>
      </w:pPr>
      <w:r>
        <w:rPr>
          <w:rFonts w:hint="eastAsia" w:ascii="仿宋_GB2312" w:hAnsi="宋体" w:eastAsia="仿宋_GB2312"/>
          <w:b/>
          <w:snapToGrid w:val="0"/>
          <w:kern w:val="0"/>
          <w:sz w:val="32"/>
          <w:szCs w:val="32"/>
        </w:rPr>
        <w:t>二、乙方应注意定期查收对账单并主动核对账务，不得以与受理单位发生纠纷、未收到账单或延迟收到账单以及因交易习惯和交易特殊性质产生的无交易单据或交易单据上无签名等原因拒付交易产生的透支本息及相关应缴款项。</w:t>
      </w:r>
    </w:p>
    <w:p>
      <w:pPr>
        <w:tabs>
          <w:tab w:val="left" w:pos="620"/>
        </w:tabs>
        <w:ind w:firstLine="637" w:firstLineChars="150"/>
        <w:rPr>
          <w:rFonts w:hint="eastAsia" w:ascii="仿宋_GB2312" w:hAnsi="宋体" w:eastAsia="仿宋_GB2312"/>
          <w:bCs/>
          <w:snapToGrid w:val="0"/>
          <w:kern w:val="0"/>
          <w:sz w:val="32"/>
          <w:szCs w:val="32"/>
        </w:rPr>
      </w:pPr>
      <w:r>
        <w:rPr>
          <w:rFonts w:hint="eastAsia" w:ascii="仿宋_GB2312" w:hAnsi="宋体" w:eastAsia="仿宋_GB2312"/>
          <w:b/>
          <w:bCs/>
          <w:snapToGrid w:val="0"/>
          <w:kern w:val="0"/>
          <w:sz w:val="32"/>
          <w:szCs w:val="32"/>
        </w:rPr>
        <w:t>三、若乙方对账单内容有异议的，应在最后还款日前向甲方进行查对，否则视为对账单准确无误，乙方认可全部交易。</w:t>
      </w:r>
      <w:r>
        <w:rPr>
          <w:rFonts w:hint="eastAsia" w:ascii="仿宋_GB2312" w:hAnsi="宋体" w:eastAsia="仿宋_GB2312"/>
          <w:bCs/>
          <w:snapToGrid w:val="0"/>
          <w:kern w:val="0"/>
          <w:sz w:val="32"/>
          <w:szCs w:val="32"/>
        </w:rPr>
        <w:t>乙方有权在说明理由并向甲方提交甲方规定的相关证明材料后对不符的账务进行核查，有权在法律法规、监管规定、中国银联以及相关信用卡组织/机构规定的期限内向甲方请求协助调阅签购单。对已提出异议的交易，在查证认定责任前，乙方仍应按期偿还对账单所列应还款项。</w:t>
      </w:r>
      <w:r>
        <w:rPr>
          <w:rFonts w:hint="eastAsia" w:ascii="仿宋_GB2312" w:hAnsi="宋体" w:eastAsia="仿宋_GB2312"/>
          <w:b/>
          <w:snapToGrid w:val="0"/>
          <w:kern w:val="0"/>
          <w:sz w:val="32"/>
          <w:szCs w:val="32"/>
        </w:rPr>
        <w:t>乙方在争议处理中不配合甲方提供相关证明或不签署意见，视为对账单准确无误。如经查证认定争议交易确为乙方所为，乙方须承担因查证而产生的所有费用（包括查阅签购单手续费等及第三方机构因进行争议调查、认定而收取的费用）</w:t>
      </w:r>
      <w:r>
        <w:rPr>
          <w:rFonts w:hint="eastAsia" w:ascii="仿宋_GB2312" w:hAnsi="宋体" w:eastAsia="仿宋_GB2312"/>
          <w:bCs/>
          <w:snapToGrid w:val="0"/>
          <w:kern w:val="0"/>
          <w:sz w:val="32"/>
          <w:szCs w:val="32"/>
        </w:rPr>
        <w:t>；如经查证认定争议交易不应由乙方承担责任，甲方应将有关交易款项退回（法律法规另有规定或双方另有约定除外）。</w:t>
      </w:r>
    </w:p>
    <w:p>
      <w:pPr>
        <w:tabs>
          <w:tab w:val="left" w:pos="620"/>
        </w:tabs>
        <w:ind w:firstLine="637" w:firstLineChars="150"/>
        <w:rPr>
          <w:rFonts w:hint="eastAsia" w:ascii="仿宋_GB2312" w:hAnsi="宋体" w:eastAsia="仿宋_GB2312"/>
          <w:bCs/>
          <w:snapToGrid w:val="0"/>
          <w:kern w:val="0"/>
          <w:sz w:val="32"/>
          <w:szCs w:val="32"/>
        </w:rPr>
      </w:pPr>
      <w:r>
        <w:rPr>
          <w:rFonts w:hint="eastAsia" w:ascii="仿宋_GB2312" w:hAnsi="宋体" w:eastAsia="仿宋_GB2312"/>
          <w:bCs/>
          <w:snapToGrid w:val="0"/>
          <w:kern w:val="0"/>
          <w:sz w:val="32"/>
          <w:szCs w:val="32"/>
        </w:rPr>
        <w:t>四、乙方有权按照双方约定的方式向甲方提出补制最近12个月内的对账单申请。</w:t>
      </w:r>
    </w:p>
    <w:p>
      <w:pPr>
        <w:pStyle w:val="20"/>
        <w:spacing w:line="240" w:lineRule="auto"/>
        <w:rPr>
          <w:rFonts w:hint="eastAsia" w:ascii="仿宋_GB2312" w:eastAsia="仿宋_GB2312"/>
          <w:snapToGrid w:val="0"/>
        </w:rPr>
      </w:pPr>
      <w:r>
        <w:rPr>
          <w:rFonts w:hint="eastAsia" w:ascii="仿宋_GB2312" w:eastAsia="仿宋_GB2312"/>
          <w:snapToGrid w:val="0"/>
        </w:rPr>
        <w:t>第六条  还 款</w:t>
      </w:r>
    </w:p>
    <w:p>
      <w:pPr>
        <w:tabs>
          <w:tab w:val="left" w:pos="620"/>
        </w:tabs>
        <w:ind w:firstLine="628" w:firstLineChars="148"/>
        <w:rPr>
          <w:rFonts w:hint="eastAsia"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一、乙方同意承担心乐卡项下所发生的全部债务，包括但不限于透支本金、分期金额、透支利息、费用（包括但不限于年费、本金透支手续费、预借现金手续费、违约金）等。还款顺序为先冲抵已出账单款项，再冲抵未出账单款项；同账期内还款顺序为先利息费用后本金；逾期91天以上的，按先本金后利息费用的顺序进行归还。在出现乙方不按照领用合约还款及甲方认为乙方风险加大等情况或应监管要求时，甲方有权变更乙方的还款顺序。</w:t>
      </w:r>
    </w:p>
    <w:p>
      <w:pPr>
        <w:tabs>
          <w:tab w:val="left" w:pos="620"/>
        </w:tabs>
        <w:ind w:firstLine="637" w:firstLineChars="150"/>
        <w:rPr>
          <w:rFonts w:hint="eastAsia"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二、在心乐分业务期限内，乙方可以选择提前还款，也可按最低还款额进行还款。如乙方提前归还本金的，系统将自动等额恢复心乐卡可用额度。</w:t>
      </w:r>
    </w:p>
    <w:p>
      <w:pPr>
        <w:tabs>
          <w:tab w:val="left" w:pos="620"/>
        </w:tabs>
        <w:ind w:firstLine="637" w:firstLineChars="150"/>
        <w:rPr>
          <w:rFonts w:hint="eastAsia"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三、乙方偿还透支欠款可选择主动还款或由甲方自动扣款。乙方与甲方约定通过乙方开立于甲方的账户自动扣款的，或甲方接受第三方机构委托进行扣款的，甲方有权在双方约定的日期从约定账户中扣除相应的款项用于归还其账户欠款，扣收不足部分乙方应及时直接存入心乐卡账户偿还。乙方应自行确保还款账户中有足额资金用于清偿欠款，否则因此造成的利息和费用等由乙方自行承担。</w:t>
      </w:r>
    </w:p>
    <w:p>
      <w:pPr>
        <w:tabs>
          <w:tab w:val="left" w:pos="620"/>
        </w:tabs>
        <w:ind w:firstLine="637" w:firstLineChars="150"/>
        <w:rPr>
          <w:rFonts w:hint="eastAsia"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四、乙方超过最后还款日未能足额清偿应偿还款项，或出现其风险状况正在或可能危害甲方合法权益时，甲方有权通过司法机关向乙方和担保人追索，或行使质押权。乙方同意甲方从乙方在甲方所有机构开立的任何账户中扣收相应款项等途径依法追索所欠款项，保障其合法权益，并通过短信方式等通知被扣款人。给甲方造成的相关损失和甲方为此而发生的全部费用（包括但不限于诉讼费、仲裁费、财产保全费、差旅费、执行费、评估费、拍卖费、公证费、律师费等）应由乙方和其担保人全部承担。</w:t>
      </w:r>
    </w:p>
    <w:p>
      <w:pPr>
        <w:pStyle w:val="20"/>
        <w:spacing w:line="240" w:lineRule="auto"/>
        <w:rPr>
          <w:rFonts w:hint="eastAsia" w:ascii="仿宋_GB2312" w:eastAsia="仿宋_GB2312"/>
          <w:snapToGrid w:val="0"/>
        </w:rPr>
      </w:pPr>
      <w:r>
        <w:rPr>
          <w:rFonts w:hint="eastAsia" w:ascii="仿宋_GB2312" w:eastAsia="仿宋_GB2312"/>
          <w:snapToGrid w:val="0"/>
        </w:rPr>
        <w:t>第七条  有效期与销卡</w:t>
      </w:r>
    </w:p>
    <w:p>
      <w:pPr>
        <w:tabs>
          <w:tab w:val="left" w:pos="620"/>
        </w:tabs>
        <w:ind w:firstLine="637" w:firstLineChars="150"/>
        <w:rPr>
          <w:rFonts w:hint="eastAsia" w:ascii="仿宋_GB2312" w:hAnsi="宋体" w:eastAsia="仿宋_GB2312"/>
          <w:bCs/>
          <w:snapToGrid w:val="0"/>
          <w:kern w:val="0"/>
          <w:sz w:val="32"/>
          <w:szCs w:val="32"/>
        </w:rPr>
      </w:pPr>
      <w:r>
        <w:rPr>
          <w:rFonts w:hint="eastAsia" w:ascii="仿宋_GB2312" w:hAnsi="宋体" w:eastAsia="仿宋_GB2312"/>
          <w:bCs/>
          <w:snapToGrid w:val="0"/>
          <w:kern w:val="0"/>
          <w:sz w:val="32"/>
          <w:szCs w:val="32"/>
        </w:rPr>
        <w:t>一、心乐卡的有效期分为卡片有效期和信用额度有效期。卡片有效期以卡面记载的有效期为准（具体日期为卡面到期月的最后一天），过期卡片自动失效。信用额度有效期最长一年，且信用额度有效期不得超过卡片有效期，具体时间由甲方根据乙方提供的申请资料和资信状况等进行核定，过期信用额度自动失效。但乙方使用心乐卡所发生的未清偿债权债务关系不因卡片失效或信用额度失效而终止。</w:t>
      </w:r>
    </w:p>
    <w:p>
      <w:pPr>
        <w:tabs>
          <w:tab w:val="left" w:pos="620"/>
        </w:tabs>
        <w:ind w:firstLine="637" w:firstLineChars="150"/>
        <w:rPr>
          <w:rFonts w:hint="eastAsia" w:ascii="仿宋_GB2312" w:hAnsi="宋体" w:eastAsia="仿宋_GB2312"/>
          <w:bCs/>
          <w:snapToGrid w:val="0"/>
          <w:kern w:val="0"/>
          <w:sz w:val="32"/>
          <w:szCs w:val="32"/>
        </w:rPr>
      </w:pPr>
      <w:r>
        <w:rPr>
          <w:rFonts w:hint="eastAsia" w:ascii="仿宋_GB2312" w:hAnsi="宋体" w:eastAsia="仿宋_GB2312"/>
          <w:bCs/>
          <w:snapToGrid w:val="0"/>
          <w:kern w:val="0"/>
          <w:sz w:val="32"/>
          <w:szCs w:val="32"/>
        </w:rPr>
        <w:t>二、乙方如未在心乐卡卡片有效期到期前1个月以书面或双方认可的其他方式通知甲方要求终止使用此卡并办理销户手续，</w:t>
      </w:r>
      <w:r>
        <w:rPr>
          <w:rFonts w:hint="eastAsia" w:ascii="仿宋_GB2312" w:hAnsi="宋体" w:eastAsia="仿宋_GB2312"/>
          <w:b/>
          <w:snapToGrid w:val="0"/>
          <w:kern w:val="0"/>
          <w:sz w:val="32"/>
          <w:szCs w:val="32"/>
        </w:rPr>
        <w:t>甲方视同乙方同意到期续卡</w:t>
      </w:r>
      <w:r>
        <w:rPr>
          <w:rFonts w:hint="eastAsia" w:ascii="仿宋_GB2312" w:hAnsi="宋体" w:eastAsia="仿宋_GB2312"/>
          <w:bCs/>
          <w:snapToGrid w:val="0"/>
          <w:kern w:val="0"/>
          <w:sz w:val="32"/>
          <w:szCs w:val="32"/>
        </w:rPr>
        <w:t>，并重新根据乙方资信情况及用卡情况确认是否为乙方续发新卡。如乙方不办理续卡手续，已过期的心乐卡不能继续使用。</w:t>
      </w:r>
    </w:p>
    <w:p>
      <w:pPr>
        <w:tabs>
          <w:tab w:val="left" w:pos="620"/>
        </w:tabs>
        <w:ind w:firstLine="637" w:firstLineChars="150"/>
        <w:rPr>
          <w:rFonts w:hint="eastAsia" w:ascii="仿宋_GB2312" w:hAnsi="宋体" w:eastAsia="仿宋_GB2312"/>
          <w:bCs/>
          <w:snapToGrid w:val="0"/>
          <w:kern w:val="0"/>
          <w:sz w:val="32"/>
          <w:szCs w:val="32"/>
        </w:rPr>
      </w:pPr>
      <w:r>
        <w:rPr>
          <w:rFonts w:hint="eastAsia" w:ascii="仿宋_GB2312" w:hAnsi="宋体" w:eastAsia="仿宋_GB2312"/>
          <w:bCs/>
          <w:snapToGrid w:val="0"/>
          <w:kern w:val="0"/>
          <w:sz w:val="32"/>
          <w:szCs w:val="32"/>
        </w:rPr>
        <w:t>三、甲方应在心乐卡信用额度有效期到期前重新根据持卡人资信情况及用卡情况确认是否继续给予乙方卡内信用额度和使用期限。若在资信审核中需乙方申请办理延续信用额度手续的，而乙方未按要求办理相关手续，</w:t>
      </w:r>
      <w:r>
        <w:rPr>
          <w:rFonts w:hint="eastAsia" w:ascii="仿宋_GB2312" w:hAnsi="宋体" w:eastAsia="仿宋_GB2312"/>
          <w:b/>
          <w:snapToGrid w:val="0"/>
          <w:kern w:val="0"/>
          <w:sz w:val="32"/>
          <w:szCs w:val="32"/>
        </w:rPr>
        <w:t>心乐卡将不能继续使用</w:t>
      </w:r>
      <w:r>
        <w:rPr>
          <w:rFonts w:hint="eastAsia" w:ascii="仿宋_GB2312" w:hAnsi="宋体" w:eastAsia="仿宋_GB2312"/>
          <w:bCs/>
          <w:snapToGrid w:val="0"/>
          <w:kern w:val="0"/>
          <w:sz w:val="32"/>
          <w:szCs w:val="32"/>
        </w:rPr>
        <w:t>，电子现金账户可继续使用。</w:t>
      </w:r>
    </w:p>
    <w:p>
      <w:pPr>
        <w:tabs>
          <w:tab w:val="left" w:pos="620"/>
        </w:tabs>
        <w:ind w:firstLine="637" w:firstLineChars="150"/>
        <w:rPr>
          <w:rFonts w:hint="eastAsia" w:ascii="仿宋_GB2312" w:hAnsi="宋体" w:eastAsia="仿宋_GB2312"/>
          <w:bCs/>
          <w:snapToGrid w:val="0"/>
          <w:kern w:val="0"/>
          <w:sz w:val="32"/>
          <w:szCs w:val="32"/>
        </w:rPr>
      </w:pPr>
      <w:r>
        <w:rPr>
          <w:rFonts w:hint="eastAsia" w:ascii="仿宋_GB2312" w:hAnsi="宋体" w:eastAsia="仿宋_GB2312"/>
          <w:bCs/>
          <w:snapToGrid w:val="0"/>
          <w:kern w:val="0"/>
          <w:sz w:val="32"/>
          <w:szCs w:val="32"/>
        </w:rPr>
        <w:t>四、信用额度到期日即为心乐分到期日，若</w:t>
      </w:r>
      <w:r>
        <w:rPr>
          <w:rFonts w:hint="eastAsia" w:ascii="仿宋_GB2312" w:hAnsi="宋体" w:eastAsia="仿宋_GB2312"/>
          <w:b/>
          <w:bCs/>
          <w:snapToGrid w:val="0"/>
          <w:kern w:val="0"/>
          <w:sz w:val="32"/>
          <w:szCs w:val="32"/>
        </w:rPr>
        <w:t>信用额度到期，心乐分所有剩余欠款将在当期账单日入账结算，乙方需在该账期的最后还款日（含）前一次性偿还所有欠款。</w:t>
      </w:r>
    </w:p>
    <w:p>
      <w:pPr>
        <w:tabs>
          <w:tab w:val="left" w:pos="620"/>
        </w:tabs>
        <w:ind w:firstLine="637" w:firstLineChars="150"/>
        <w:rPr>
          <w:rFonts w:hint="eastAsia" w:ascii="仿宋_GB2312" w:hAnsi="宋体" w:eastAsia="仿宋_GB2312"/>
          <w:bCs/>
          <w:snapToGrid w:val="0"/>
          <w:kern w:val="0"/>
          <w:sz w:val="32"/>
          <w:szCs w:val="32"/>
        </w:rPr>
      </w:pPr>
      <w:r>
        <w:rPr>
          <w:rFonts w:hint="eastAsia" w:ascii="仿宋_GB2312" w:hAnsi="宋体" w:eastAsia="仿宋_GB2312"/>
          <w:bCs/>
          <w:snapToGrid w:val="0"/>
          <w:kern w:val="0"/>
          <w:sz w:val="32"/>
          <w:szCs w:val="32"/>
        </w:rPr>
        <w:t>五、乙方有权办理销户手续以终止用卡，此时乙方应一次性偿还其心乐卡项下的所有欠款（包括但不限于已出及未出账单、已到期及未到期分期欠款）。</w:t>
      </w:r>
      <w:r>
        <w:rPr>
          <w:rFonts w:hint="eastAsia" w:ascii="仿宋_GB2312" w:hAnsi="宋体" w:eastAsia="仿宋_GB2312"/>
          <w:b/>
          <w:snapToGrid w:val="0"/>
          <w:kern w:val="0"/>
          <w:sz w:val="32"/>
          <w:szCs w:val="32"/>
        </w:rPr>
        <w:t>同时乙方仍须承担该卡在销户前发生但未记账的交易所产生的一切债务和损失。</w:t>
      </w:r>
      <w:r>
        <w:rPr>
          <w:rFonts w:hint="eastAsia" w:ascii="仿宋_GB2312" w:hAnsi="宋体" w:eastAsia="仿宋_GB2312"/>
          <w:bCs/>
          <w:snapToGrid w:val="0"/>
          <w:kern w:val="0"/>
          <w:sz w:val="32"/>
          <w:szCs w:val="32"/>
        </w:rPr>
        <w:t>对于销户后发生的心乐卡欠款，甲方保留相应追索权利。</w:t>
      </w:r>
      <w:r>
        <w:rPr>
          <w:rFonts w:hint="eastAsia" w:ascii="仿宋_GB2312" w:hAnsi="宋体" w:eastAsia="仿宋_GB2312"/>
          <w:b/>
          <w:snapToGrid w:val="0"/>
          <w:kern w:val="0"/>
          <w:sz w:val="32"/>
          <w:szCs w:val="32"/>
        </w:rPr>
        <w:t>甲方对已收取的年费不再予以退还。</w:t>
      </w:r>
    </w:p>
    <w:p>
      <w:pPr>
        <w:tabs>
          <w:tab w:val="left" w:pos="620"/>
        </w:tabs>
        <w:ind w:firstLine="637" w:firstLineChars="150"/>
        <w:rPr>
          <w:rFonts w:hint="eastAsia" w:ascii="仿宋_GB2312" w:hAnsi="宋体" w:eastAsia="仿宋_GB2312"/>
          <w:bCs/>
          <w:snapToGrid w:val="0"/>
          <w:kern w:val="0"/>
          <w:sz w:val="32"/>
          <w:szCs w:val="32"/>
        </w:rPr>
      </w:pPr>
      <w:r>
        <w:rPr>
          <w:rFonts w:hint="eastAsia" w:ascii="仿宋_GB2312" w:hAnsi="宋体" w:eastAsia="仿宋_GB2312"/>
          <w:bCs/>
          <w:snapToGrid w:val="0"/>
          <w:kern w:val="0"/>
          <w:sz w:val="32"/>
          <w:szCs w:val="32"/>
        </w:rPr>
        <w:t>六、乙方对含电子现金账户的卡片申请销户时，若电子现金账户仍有余额，乙方可自行选择消费电子现金账户余额或前往甲方营业网点柜台办理余额提取业务，并按甲方有关规定办理提取手续。</w:t>
      </w:r>
      <w:r>
        <w:rPr>
          <w:rFonts w:hint="eastAsia" w:ascii="仿宋_GB2312" w:hAnsi="宋体" w:eastAsia="仿宋_GB2312"/>
          <w:b/>
          <w:bCs/>
          <w:snapToGrid w:val="0"/>
          <w:kern w:val="0"/>
          <w:sz w:val="32"/>
          <w:szCs w:val="32"/>
        </w:rPr>
        <w:t>因电子现金账户不支持挂失，若乙方申请销户时未将卡片交回甲方，甲方不承担退还乙方电子现金余额的责任，由此造成的损失应由乙方自行承担。</w:t>
      </w:r>
    </w:p>
    <w:p>
      <w:pPr>
        <w:pStyle w:val="20"/>
        <w:spacing w:line="240" w:lineRule="auto"/>
        <w:rPr>
          <w:rFonts w:hint="eastAsia" w:ascii="仿宋_GB2312" w:eastAsia="仿宋_GB2312"/>
          <w:snapToGrid w:val="0"/>
        </w:rPr>
      </w:pPr>
      <w:r>
        <w:rPr>
          <w:rFonts w:hint="eastAsia" w:ascii="仿宋_GB2312" w:eastAsia="仿宋_GB2312"/>
          <w:snapToGrid w:val="0"/>
        </w:rPr>
        <w:t>第八条  挂 失</w:t>
      </w:r>
    </w:p>
    <w:p>
      <w:pPr>
        <w:tabs>
          <w:tab w:val="left" w:pos="620"/>
        </w:tabs>
        <w:ind w:firstLine="637" w:firstLineChars="150"/>
        <w:rPr>
          <w:rFonts w:hint="eastAsia" w:ascii="仿宋_GB2312" w:hAnsi="宋体" w:eastAsia="仿宋_GB2312"/>
          <w:bCs/>
          <w:snapToGrid w:val="0"/>
          <w:kern w:val="0"/>
          <w:sz w:val="32"/>
          <w:szCs w:val="32"/>
        </w:rPr>
      </w:pPr>
      <w:r>
        <w:rPr>
          <w:rFonts w:hint="eastAsia" w:ascii="仿宋_GB2312" w:hAnsi="宋体" w:eastAsia="仿宋_GB2312"/>
          <w:bCs/>
          <w:snapToGrid w:val="0"/>
          <w:kern w:val="0"/>
          <w:sz w:val="32"/>
          <w:szCs w:val="32"/>
        </w:rPr>
        <w:t>一、乙方应妥善保管心乐卡卡片。卡片如遗失、被窃或其它遭乙方以外的他人占有的情形，乙方应及时通过甲方营业网点、客服热线、网上银行、微信银行、手机银行等甲方认可的渠道办理主账户口头挂失或至甲方营业网点办理主账户书面挂失。办理口头挂失后乙方应及时到甲方营业网点办理书面挂失。</w:t>
      </w:r>
      <w:r>
        <w:rPr>
          <w:rFonts w:hint="eastAsia" w:ascii="仿宋_GB2312" w:hAnsi="宋体" w:eastAsia="仿宋_GB2312"/>
          <w:b/>
          <w:bCs/>
          <w:snapToGrid w:val="0"/>
          <w:kern w:val="0"/>
          <w:sz w:val="32"/>
          <w:szCs w:val="32"/>
        </w:rPr>
        <w:t>挂失经甲方确认后即生效。对于含电子现金账户的心乐卡，其电子现金账户不支持挂失，心乐卡丢失后产生的电子现金账户损失均由乙方承担。</w:t>
      </w:r>
    </w:p>
    <w:p>
      <w:pPr>
        <w:tabs>
          <w:tab w:val="left" w:pos="620"/>
        </w:tabs>
        <w:ind w:firstLine="637" w:firstLineChars="150"/>
        <w:rPr>
          <w:rFonts w:hint="eastAsia" w:ascii="仿宋_GB2312" w:hAnsi="宋体" w:eastAsia="仿宋_GB2312"/>
          <w:bCs/>
          <w:snapToGrid w:val="0"/>
          <w:kern w:val="0"/>
          <w:sz w:val="32"/>
          <w:szCs w:val="32"/>
        </w:rPr>
      </w:pPr>
      <w:r>
        <w:rPr>
          <w:rFonts w:hint="eastAsia" w:ascii="仿宋_GB2312" w:hAnsi="宋体" w:eastAsia="仿宋_GB2312"/>
          <w:bCs/>
          <w:snapToGrid w:val="0"/>
          <w:kern w:val="0"/>
          <w:sz w:val="32"/>
          <w:szCs w:val="32"/>
        </w:rPr>
        <w:t>二、心乐卡书面挂失后，甲方根据乙方的需要为其补办新卡。乙方可凭书面挂失申请书和本人有效身份证件到甲方补办新卡并以双方约定认可的方式领取卡片。</w:t>
      </w:r>
    </w:p>
    <w:p>
      <w:pPr>
        <w:tabs>
          <w:tab w:val="left" w:pos="620"/>
        </w:tabs>
        <w:ind w:firstLine="637" w:firstLineChars="150"/>
        <w:rPr>
          <w:rFonts w:hint="eastAsia" w:ascii="仿宋_GB2312" w:hAnsi="宋体" w:eastAsia="仿宋_GB2312"/>
          <w:bCs/>
          <w:snapToGrid w:val="0"/>
          <w:kern w:val="0"/>
          <w:sz w:val="32"/>
          <w:szCs w:val="32"/>
        </w:rPr>
      </w:pPr>
      <w:r>
        <w:rPr>
          <w:rFonts w:hint="eastAsia" w:ascii="仿宋_GB2312" w:hAnsi="宋体" w:eastAsia="仿宋_GB2312"/>
          <w:bCs/>
          <w:snapToGrid w:val="0"/>
          <w:kern w:val="0"/>
          <w:sz w:val="32"/>
          <w:szCs w:val="32"/>
        </w:rPr>
        <w:t>三、乙方对挂失生效前发生的交易承担责任，对挂失生效后发生的交易不承担责任，但乙方与他人合谋、欺诈或有其他不诚信行为，或乙方拒绝配合甲方进行相关调查或提供相关证明的、国家有权机关依法扣划资金的或该心乐卡找回后发现乙方未按规定签名的除外，属上述情况的甲方不承担责任并保留追索乙方责任的权利。</w:t>
      </w:r>
    </w:p>
    <w:p>
      <w:pPr>
        <w:pStyle w:val="20"/>
        <w:spacing w:line="240" w:lineRule="auto"/>
        <w:ind w:firstLine="850" w:firstLineChars="200"/>
        <w:rPr>
          <w:rFonts w:hint="eastAsia" w:ascii="仿宋_GB2312" w:eastAsia="仿宋_GB2312"/>
          <w:snapToGrid w:val="0"/>
        </w:rPr>
      </w:pPr>
      <w:r>
        <w:rPr>
          <w:rFonts w:hint="eastAsia" w:ascii="仿宋_GB2312" w:eastAsia="仿宋_GB2312"/>
          <w:snapToGrid w:val="0"/>
        </w:rPr>
        <w:t>第九条  权利和义务</w:t>
      </w:r>
    </w:p>
    <w:p>
      <w:pPr>
        <w:tabs>
          <w:tab w:val="left" w:pos="620"/>
        </w:tabs>
        <w:ind w:firstLine="637" w:firstLineChars="150"/>
        <w:rPr>
          <w:rFonts w:hint="eastAsia"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一、心乐卡属甲方所有，甲方保留收回或不予发卡的权利。</w:t>
      </w:r>
    </w:p>
    <w:p>
      <w:pPr>
        <w:tabs>
          <w:tab w:val="left" w:pos="620"/>
        </w:tabs>
        <w:ind w:firstLine="637" w:firstLineChars="150"/>
        <w:rPr>
          <w:rFonts w:hint="eastAsia"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（一）甲方有权依据乙方使用状况，对超过6个月未发生交易的心乐卡账户调减其授信额度。</w:t>
      </w:r>
    </w:p>
    <w:p>
      <w:pPr>
        <w:tabs>
          <w:tab w:val="left" w:pos="620"/>
        </w:tabs>
        <w:ind w:firstLine="637" w:firstLineChars="150"/>
        <w:rPr>
          <w:rFonts w:hint="eastAsia"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二）有下列情况之一的，甲方有权在不提前通知持卡人的情况下，对乙方心乐卡进行止付，或限制、取消心乐卡功能，或可授权有关银行和特约商户收回心乐卡，或停止该卡使用，并保留依照法律程序进行追索的权利：</w:t>
      </w:r>
    </w:p>
    <w:p>
      <w:pPr>
        <w:tabs>
          <w:tab w:val="left" w:pos="620"/>
        </w:tabs>
        <w:ind w:firstLine="637" w:firstLineChars="150"/>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1.乙方或其担保人提供虚假申请资料的；</w:t>
      </w:r>
    </w:p>
    <w:p>
      <w:pPr>
        <w:tabs>
          <w:tab w:val="left" w:pos="620"/>
        </w:tabs>
        <w:ind w:firstLine="637" w:firstLineChars="150"/>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2.乙方未能按时还款或恶意透支的；</w:t>
      </w:r>
    </w:p>
    <w:p>
      <w:pPr>
        <w:tabs>
          <w:tab w:val="left" w:pos="620"/>
        </w:tabs>
        <w:ind w:firstLine="637" w:firstLineChars="150"/>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3.乙方有与特约商户等他人串通利用心乐卡进行虚假交易等共同欺诈活动的；</w:t>
      </w:r>
    </w:p>
    <w:p>
      <w:pPr>
        <w:tabs>
          <w:tab w:val="left" w:pos="620"/>
        </w:tabs>
        <w:ind w:firstLine="637" w:firstLineChars="150"/>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4.乙方有任何舞弊、欺诈或非真实交易的；</w:t>
      </w:r>
    </w:p>
    <w:p>
      <w:pPr>
        <w:tabs>
          <w:tab w:val="left" w:pos="620"/>
        </w:tabs>
        <w:ind w:firstLine="637" w:firstLineChars="150"/>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5.乙方存在洗钱、恐怖融资、买卖、出借银行卡等违反法律法规、监管规定行为的；</w:t>
      </w:r>
    </w:p>
    <w:p>
      <w:pPr>
        <w:tabs>
          <w:tab w:val="left" w:pos="620"/>
        </w:tabs>
        <w:ind w:firstLine="637" w:firstLineChars="150"/>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6.乙方身故的，或被宣告死亡的，或失踪的；</w:t>
      </w:r>
    </w:p>
    <w:p>
      <w:pPr>
        <w:tabs>
          <w:tab w:val="left" w:pos="620"/>
        </w:tabs>
        <w:ind w:firstLine="637" w:firstLineChars="150"/>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7.因乙方与其他第三方发生纠纷导致甲方被卷入诉讼或遭受损失的；</w:t>
      </w:r>
    </w:p>
    <w:p>
      <w:pPr>
        <w:tabs>
          <w:tab w:val="left" w:pos="620"/>
        </w:tabs>
        <w:ind w:firstLine="637" w:firstLineChars="150"/>
        <w:rPr>
          <w:rFonts w:hint="eastAsia" w:ascii="仿宋_GB2312" w:hAnsi="宋体" w:eastAsia="仿宋_GB2312"/>
          <w:snapToGrid w:val="0"/>
          <w:kern w:val="0"/>
          <w:sz w:val="32"/>
          <w:szCs w:val="32"/>
          <w:u w:val="single"/>
        </w:rPr>
      </w:pPr>
      <w:r>
        <w:rPr>
          <w:rFonts w:hint="eastAsia" w:ascii="仿宋_GB2312" w:hAnsi="宋体" w:eastAsia="仿宋_GB2312"/>
          <w:snapToGrid w:val="0"/>
          <w:kern w:val="0"/>
          <w:sz w:val="32"/>
          <w:szCs w:val="32"/>
          <w:u w:val="single"/>
        </w:rPr>
        <w:t>8.甲方从公安机关、司法机关、乙方本人、亲属、交易监测或其他渠道获悉乙方出现身份证件被盗用、家庭财务状况恶化、还款能力下降、预留联系方式失效、资信状况恶化、有非正常用卡行为等风险信息的；</w:t>
      </w:r>
    </w:p>
    <w:p>
      <w:pPr>
        <w:tabs>
          <w:tab w:val="left" w:pos="620"/>
        </w:tabs>
        <w:ind w:firstLine="637" w:firstLineChars="150"/>
        <w:rPr>
          <w:rFonts w:hint="eastAsia" w:ascii="仿宋_GB2312" w:hAnsi="宋体" w:eastAsia="仿宋_GB2312"/>
          <w:snapToGrid w:val="0"/>
          <w:kern w:val="0"/>
          <w:sz w:val="32"/>
          <w:szCs w:val="32"/>
          <w:u w:val="single"/>
        </w:rPr>
      </w:pPr>
      <w:r>
        <w:rPr>
          <w:rFonts w:hint="eastAsia" w:ascii="仿宋_GB2312" w:hAnsi="宋体" w:eastAsia="仿宋_GB2312"/>
          <w:snapToGrid w:val="0"/>
          <w:kern w:val="0"/>
          <w:sz w:val="32"/>
          <w:szCs w:val="32"/>
          <w:u w:val="single"/>
        </w:rPr>
        <w:t>9.乙方存在或疑似存在利用虚假交易等手段进行心乐卡套现、骗取积分、奖品或增值服务等违法违规行为的；</w:t>
      </w:r>
    </w:p>
    <w:p>
      <w:pPr>
        <w:tabs>
          <w:tab w:val="left" w:pos="620"/>
        </w:tabs>
        <w:ind w:firstLine="637" w:firstLineChars="150"/>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10.乙方有违反法律法规、《章程》和本《合约》规定的情形的；</w:t>
      </w:r>
    </w:p>
    <w:p>
      <w:pPr>
        <w:tabs>
          <w:tab w:val="left" w:pos="620"/>
        </w:tabs>
        <w:ind w:firstLine="637" w:firstLineChars="150"/>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11.因特殊原因，为保障乙方账户资金安全的；</w:t>
      </w:r>
    </w:p>
    <w:p>
      <w:pPr>
        <w:tabs>
          <w:tab w:val="left" w:pos="620"/>
        </w:tabs>
        <w:ind w:firstLine="637" w:firstLineChars="150"/>
        <w:rPr>
          <w:rFonts w:hint="eastAsia" w:ascii="仿宋_GB2312" w:hAnsi="宋体" w:eastAsia="仿宋_GB2312"/>
          <w:snapToGrid w:val="0"/>
          <w:kern w:val="0"/>
          <w:sz w:val="32"/>
          <w:szCs w:val="32"/>
          <w:u w:val="single"/>
        </w:rPr>
      </w:pPr>
      <w:r>
        <w:rPr>
          <w:rFonts w:hint="eastAsia" w:ascii="仿宋_GB2312" w:hAnsi="宋体" w:eastAsia="仿宋_GB2312"/>
          <w:snapToGrid w:val="0"/>
          <w:kern w:val="0"/>
          <w:sz w:val="32"/>
          <w:szCs w:val="32"/>
          <w:u w:val="single"/>
        </w:rPr>
        <w:t>12.乙方心乐卡项下担保出现异常或风险，如担保人中途提出终止担保要求，抵质押物权属发生争议、抵质押物被司法查封等限制、因不可归责于甲方的事由导致或可能导致担保权利受损害的；</w:t>
      </w:r>
    </w:p>
    <w:p>
      <w:pPr>
        <w:tabs>
          <w:tab w:val="left" w:pos="620"/>
        </w:tabs>
        <w:ind w:firstLine="637" w:firstLineChars="150"/>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13.甲方认为必要的其他情形。</w:t>
      </w:r>
    </w:p>
    <w:p>
      <w:pPr>
        <w:tabs>
          <w:tab w:val="left" w:pos="620"/>
        </w:tabs>
        <w:ind w:firstLine="637" w:firstLineChars="150"/>
        <w:rPr>
          <w:rFonts w:hint="eastAsia"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（三）乙方在此授权，有下列情况之一的，甲方可直接对其在甲方成功申领的心乐卡进行销卡，而无需经乙方另行同意：</w:t>
      </w:r>
    </w:p>
    <w:p>
      <w:pPr>
        <w:tabs>
          <w:tab w:val="left" w:pos="620"/>
        </w:tabs>
        <w:ind w:firstLine="637" w:firstLineChars="150"/>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1.乙方的心乐卡已成功发卡或续卡，并且自发卡或续卡之日起超过6个月以上，乙方仍未前来甲方领取卡片的；</w:t>
      </w:r>
    </w:p>
    <w:p>
      <w:pPr>
        <w:tabs>
          <w:tab w:val="left" w:pos="620"/>
        </w:tabs>
        <w:ind w:firstLine="637" w:firstLineChars="150"/>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2.乙方的心乐卡卡片或信用额度已到期，并且自到期之日起超过3个月以上，乙方仍未按甲方要求提供续卡或续信资料的；</w:t>
      </w:r>
    </w:p>
    <w:p>
      <w:pPr>
        <w:tabs>
          <w:tab w:val="left" w:pos="620"/>
        </w:tabs>
        <w:ind w:firstLine="637" w:firstLineChars="150"/>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3.乙方已确认不再使用心乐卡，但因个人原因无法主动向甲方申请销卡的；</w:t>
      </w:r>
    </w:p>
    <w:p>
      <w:pPr>
        <w:tabs>
          <w:tab w:val="left" w:pos="620"/>
        </w:tabs>
        <w:ind w:firstLine="637" w:firstLineChars="150"/>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4.乙方授权甲方可进行销卡的其他情形。</w:t>
      </w:r>
    </w:p>
    <w:p>
      <w:pPr>
        <w:tabs>
          <w:tab w:val="left" w:pos="620"/>
        </w:tabs>
        <w:ind w:firstLine="637" w:firstLineChars="150"/>
        <w:rPr>
          <w:rFonts w:hint="eastAsia"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二、心乐卡仅限乙方本人使用，不得以出租、出借或转让等任何方式被其他个人或机构使用，否则甲方有权收回心乐卡，由此造成的损失由乙方承担。乙方因出租、出借、转让心乐卡及其账户或违反本《合约》、《章程》或使用指南等规定的视为乙方违约，由此产生的后果均由乙方负责，并承担因此给甲方或第三方造成的损失。</w:t>
      </w:r>
    </w:p>
    <w:p>
      <w:pPr>
        <w:tabs>
          <w:tab w:val="left" w:pos="620"/>
        </w:tabs>
        <w:ind w:firstLine="637" w:firstLineChars="150"/>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三、甲方有权对虚假挂失、伪造或使用伪造卡、盗用心乐卡、冒领冒用心乐卡进行诈骗以及利用心乐卡在互联网上进行非法活动的行为人进行起诉，并追究其经济和法律责任。</w:t>
      </w:r>
    </w:p>
    <w:p>
      <w:pPr>
        <w:tabs>
          <w:tab w:val="left" w:pos="620"/>
        </w:tabs>
        <w:ind w:firstLine="637" w:firstLineChars="150"/>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四、甲方为确保长期安全保存因业务或管理需要而采集、处理、传递及使用乙方和担保人的个人资料和信息，防范因非法披露和使用而使乙方遭受损失的风险，甲方承诺使用必要的技术和管理手段，限制员工接触权限，避免上述资料和信息被非法篡改、损毁、披露或提供。除法律法规另有规定或双方另有约定外，</w:t>
      </w:r>
      <w:r>
        <w:rPr>
          <w:rFonts w:hint="eastAsia" w:ascii="仿宋_GB2312" w:hAnsi="宋体" w:eastAsia="仿宋_GB2312"/>
          <w:b/>
          <w:bCs/>
          <w:snapToGrid w:val="0"/>
          <w:kern w:val="0"/>
          <w:sz w:val="32"/>
          <w:szCs w:val="32"/>
        </w:rPr>
        <w:t>乙方同意甲方可出于下述目的使用乙方及其担保人的个人资料、信息及信用状况并披露给必要的第三方，范围限于：（a）经乙方或其担保人授权，法律、法规、规章或监管当局规定必须予以披露，向金融信用信息基础数据库、国内外银行卡组织报送信用材料；（b）为开展心乐卡业务和提供心乐卡服务的目的，自行使用或披露给甲方代理人、增值服务提供方、外包作业机构等提供产品或服务的第三方；（c）为风险控制的目的，自行使用或披露给甲方的关联公司、分支机构、服务机构（包括账款催收服务机构）以及监管机构、银行卡组织、同业组织和其他金融机构；（d）为维护客户关系、提升客户服务的目的，用于向乙方推荐或营销甲方的其他产品和服务（包括甲方代理销售的保险业务），但乙方不愿意接受的除外。</w:t>
      </w:r>
      <w:r>
        <w:rPr>
          <w:rFonts w:hint="eastAsia" w:ascii="仿宋_GB2312" w:hAnsi="宋体" w:eastAsia="仿宋_GB2312"/>
          <w:snapToGrid w:val="0"/>
          <w:kern w:val="0"/>
          <w:sz w:val="32"/>
          <w:szCs w:val="32"/>
        </w:rPr>
        <w:t>除法律法规规定必须披露或乙方授权甲方披露的以外，甲方承诺对上述信息承担保密义务，并要求接收甲方披露资料的第三方对上述信息承担保密义务。如甲方违反保密义务，将依法承担法律责任。</w:t>
      </w:r>
    </w:p>
    <w:p>
      <w:pPr>
        <w:tabs>
          <w:tab w:val="left" w:pos="620"/>
        </w:tabs>
        <w:ind w:firstLine="637" w:firstLineChars="150"/>
        <w:rPr>
          <w:rFonts w:hint="eastAsia"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五、甲方有权根据监管规定、要求及相关制度规定自行对乙方的预借现金额度进行确定及做相应的调整。</w:t>
      </w:r>
    </w:p>
    <w:p>
      <w:pPr>
        <w:tabs>
          <w:tab w:val="left" w:pos="620"/>
        </w:tabs>
        <w:ind w:firstLine="637" w:firstLineChars="150"/>
        <w:rPr>
          <w:rFonts w:hint="eastAsia" w:ascii="仿宋_GB2312" w:hAnsi="宋体" w:eastAsia="仿宋_GB2312"/>
          <w:b/>
          <w:snapToGrid w:val="0"/>
          <w:kern w:val="0"/>
          <w:sz w:val="32"/>
          <w:szCs w:val="32"/>
        </w:rPr>
      </w:pPr>
      <w:r>
        <w:rPr>
          <w:rFonts w:hint="eastAsia" w:ascii="仿宋_GB2312" w:hAnsi="宋体" w:eastAsia="仿宋_GB2312"/>
          <w:bCs/>
          <w:snapToGrid w:val="0"/>
          <w:kern w:val="0"/>
          <w:sz w:val="32"/>
          <w:szCs w:val="32"/>
        </w:rPr>
        <w:t>六、乙方应在具备安全环境的支付网站和自身安全的互联网端使用心乐卡，并须遵守甲方关于网上使用心乐卡的有关规定，否则因信息失密或网上使用不当所导致的一切风险和损失</w:t>
      </w:r>
      <w:r>
        <w:rPr>
          <w:rFonts w:hint="eastAsia" w:ascii="仿宋_GB2312" w:hAnsi="宋体" w:eastAsia="仿宋_GB2312"/>
          <w:b/>
          <w:snapToGrid w:val="0"/>
          <w:kern w:val="0"/>
          <w:sz w:val="32"/>
          <w:szCs w:val="32"/>
        </w:rPr>
        <w:t>由乙方承担责任。</w:t>
      </w:r>
    </w:p>
    <w:p>
      <w:pPr>
        <w:tabs>
          <w:tab w:val="left" w:pos="620"/>
        </w:tabs>
        <w:ind w:firstLine="637" w:firstLineChars="150"/>
        <w:rPr>
          <w:rFonts w:hint="eastAsia" w:ascii="仿宋_GB2312" w:hAnsi="宋体" w:eastAsia="仿宋_GB2312"/>
          <w:bCs/>
          <w:snapToGrid w:val="0"/>
          <w:kern w:val="0"/>
          <w:sz w:val="32"/>
          <w:szCs w:val="32"/>
        </w:rPr>
      </w:pPr>
      <w:r>
        <w:rPr>
          <w:rFonts w:hint="eastAsia" w:ascii="仿宋_GB2312" w:hAnsi="宋体" w:eastAsia="仿宋_GB2312"/>
          <w:bCs/>
          <w:snapToGrid w:val="0"/>
          <w:kern w:val="0"/>
          <w:sz w:val="32"/>
          <w:szCs w:val="32"/>
        </w:rPr>
        <w:t>七、乙方不得以和甲方以外的第三方（含商户、收单银行等）发生纠纷为由拒绝清偿心乐卡欠款。</w:t>
      </w:r>
    </w:p>
    <w:p>
      <w:pPr>
        <w:tabs>
          <w:tab w:val="left" w:pos="620"/>
        </w:tabs>
        <w:ind w:firstLine="637" w:firstLineChars="150"/>
        <w:rPr>
          <w:rFonts w:hint="eastAsia" w:ascii="仿宋_GB2312" w:hAnsi="宋体" w:eastAsia="仿宋_GB2312"/>
          <w:b/>
          <w:bCs/>
          <w:snapToGrid w:val="0"/>
          <w:kern w:val="0"/>
          <w:sz w:val="32"/>
          <w:szCs w:val="32"/>
        </w:rPr>
      </w:pPr>
      <w:r>
        <w:rPr>
          <w:rFonts w:hint="eastAsia" w:ascii="仿宋_GB2312" w:hAnsi="宋体" w:eastAsia="仿宋_GB2312"/>
          <w:b/>
          <w:bCs/>
          <w:snapToGrid w:val="0"/>
          <w:kern w:val="0"/>
          <w:sz w:val="32"/>
          <w:szCs w:val="32"/>
        </w:rPr>
        <w:t>八、甲方经审查后若不同意申请人的办卡申请，《申请表》及相关资料将不再退还。</w:t>
      </w:r>
    </w:p>
    <w:p>
      <w:pPr>
        <w:tabs>
          <w:tab w:val="left" w:pos="620"/>
        </w:tabs>
        <w:ind w:firstLine="637" w:firstLineChars="150"/>
        <w:rPr>
          <w:rFonts w:hint="eastAsia" w:ascii="仿宋_GB2312" w:hAnsi="宋体" w:eastAsia="仿宋_GB2312"/>
          <w:bCs/>
          <w:snapToGrid w:val="0"/>
          <w:kern w:val="0"/>
          <w:sz w:val="32"/>
          <w:szCs w:val="32"/>
        </w:rPr>
      </w:pPr>
      <w:r>
        <w:rPr>
          <w:rFonts w:hint="eastAsia" w:ascii="仿宋_GB2312" w:hAnsi="宋体" w:eastAsia="仿宋_GB2312"/>
          <w:b/>
          <w:bCs/>
          <w:snapToGrid w:val="0"/>
          <w:kern w:val="0"/>
          <w:sz w:val="32"/>
          <w:szCs w:val="32"/>
        </w:rPr>
        <w:t>九</w:t>
      </w:r>
      <w:r>
        <w:rPr>
          <w:rFonts w:hint="eastAsia" w:ascii="仿宋_GB2312" w:hAnsi="宋体" w:eastAsia="仿宋_GB2312"/>
          <w:b/>
          <w:snapToGrid w:val="0"/>
          <w:kern w:val="0"/>
          <w:sz w:val="32"/>
          <w:szCs w:val="32"/>
        </w:rPr>
        <w:t>、甲方有权将乙方的违约等失信信息向合法征信机构、银行业协会等报送，合法合规地在银行业金融机构间共享乃至向社会公示。</w:t>
      </w:r>
    </w:p>
    <w:p>
      <w:pPr>
        <w:tabs>
          <w:tab w:val="left" w:pos="620"/>
        </w:tabs>
        <w:ind w:firstLine="637" w:firstLineChars="150"/>
        <w:rPr>
          <w:rFonts w:hint="eastAsia" w:ascii="仿宋_GB2312" w:hAnsi="宋体" w:eastAsia="仿宋_GB2312"/>
          <w:bCs/>
          <w:snapToGrid w:val="0"/>
          <w:kern w:val="0"/>
          <w:sz w:val="32"/>
          <w:szCs w:val="32"/>
        </w:rPr>
      </w:pPr>
      <w:r>
        <w:rPr>
          <w:rFonts w:hint="eastAsia" w:ascii="仿宋_GB2312" w:hAnsi="宋体" w:eastAsia="仿宋_GB2312"/>
          <w:bCs/>
          <w:snapToGrid w:val="0"/>
          <w:kern w:val="0"/>
          <w:sz w:val="32"/>
          <w:szCs w:val="32"/>
        </w:rPr>
        <w:t>十、乙方和担保人在《申请表》中所填写的内容需要变更时，须通过书面资料或其他双方约定认可的方式向甲方申请办理变更手续，否则甲方不承担由此引起的任何延误或损失，给甲方造成的损失应由乙方和其担保人予以赔偿。</w:t>
      </w:r>
    </w:p>
    <w:p>
      <w:pPr>
        <w:tabs>
          <w:tab w:val="left" w:pos="620"/>
        </w:tabs>
        <w:ind w:firstLine="637" w:firstLineChars="150"/>
        <w:rPr>
          <w:rFonts w:hint="eastAsia" w:ascii="仿宋_GB2312" w:hAnsi="宋体" w:eastAsia="仿宋_GB2312"/>
          <w:bCs/>
          <w:snapToGrid w:val="0"/>
          <w:kern w:val="0"/>
          <w:sz w:val="32"/>
          <w:szCs w:val="32"/>
        </w:rPr>
      </w:pPr>
      <w:r>
        <w:rPr>
          <w:rFonts w:hint="eastAsia" w:ascii="仿宋_GB2312" w:hAnsi="宋体" w:eastAsia="仿宋_GB2312"/>
          <w:bCs/>
          <w:snapToGrid w:val="0"/>
          <w:kern w:val="0"/>
          <w:sz w:val="32"/>
          <w:szCs w:val="32"/>
        </w:rPr>
        <w:t>十一、甲方有权行使本《合约》及《章程》规定的其他权利。</w:t>
      </w:r>
    </w:p>
    <w:p>
      <w:pPr>
        <w:pStyle w:val="20"/>
        <w:spacing w:line="240" w:lineRule="auto"/>
        <w:rPr>
          <w:rFonts w:hint="eastAsia" w:ascii="仿宋_GB2312" w:eastAsia="仿宋_GB2312"/>
          <w:snapToGrid w:val="0"/>
        </w:rPr>
      </w:pPr>
      <w:r>
        <w:rPr>
          <w:rFonts w:hint="eastAsia" w:ascii="仿宋_GB2312" w:eastAsia="仿宋_GB2312"/>
          <w:snapToGrid w:val="0"/>
        </w:rPr>
        <w:t>第十条  附则</w:t>
      </w:r>
    </w:p>
    <w:p>
      <w:pPr>
        <w:tabs>
          <w:tab w:val="left" w:pos="620"/>
        </w:tabs>
        <w:ind w:firstLine="637" w:firstLineChars="150"/>
        <w:rPr>
          <w:rFonts w:hint="eastAsia" w:ascii="仿宋_GB2312" w:hAnsi="宋体" w:eastAsia="仿宋_GB2312"/>
          <w:bCs/>
          <w:snapToGrid w:val="0"/>
          <w:kern w:val="0"/>
          <w:sz w:val="32"/>
          <w:szCs w:val="32"/>
        </w:rPr>
      </w:pPr>
      <w:r>
        <w:rPr>
          <w:rFonts w:hint="eastAsia" w:ascii="仿宋_GB2312" w:hAnsi="宋体" w:eastAsia="仿宋_GB2312"/>
          <w:bCs/>
          <w:snapToGrid w:val="0"/>
          <w:kern w:val="0"/>
          <w:sz w:val="32"/>
          <w:szCs w:val="32"/>
        </w:rPr>
        <w:t>一、本《合约》未尽事宜依据《章程》、相关心乐卡产品使用手册或使用指南及相关法律法规、监管规定、行业惯例、信用卡组织/机构的规定等办理。</w:t>
      </w:r>
    </w:p>
    <w:p>
      <w:pPr>
        <w:tabs>
          <w:tab w:val="left" w:pos="620"/>
        </w:tabs>
        <w:ind w:firstLine="637" w:firstLineChars="150"/>
        <w:rPr>
          <w:rFonts w:hint="eastAsia" w:ascii="仿宋_GB2312" w:hAnsi="宋体" w:eastAsia="仿宋_GB2312"/>
          <w:bCs/>
          <w:snapToGrid w:val="0"/>
          <w:kern w:val="0"/>
          <w:sz w:val="32"/>
          <w:szCs w:val="32"/>
        </w:rPr>
      </w:pPr>
      <w:r>
        <w:rPr>
          <w:rFonts w:hint="eastAsia" w:ascii="仿宋_GB2312" w:hAnsi="宋体" w:eastAsia="仿宋_GB2312"/>
          <w:bCs/>
          <w:snapToGrid w:val="0"/>
          <w:kern w:val="0"/>
          <w:sz w:val="32"/>
          <w:szCs w:val="32"/>
        </w:rPr>
        <w:t>二、甲方有权根据法律法规和监管规定及业务发展实际对本合约（含乙方同意的信息）及《章程》、使用手册或使用指南、收费项目、收费标准、利率、产品服务等进行修改、变化和调整，并将提前通过甲方官网（</w:t>
      </w:r>
      <w:r>
        <w:fldChar w:fldCharType="begin"/>
      </w:r>
      <w:r>
        <w:instrText xml:space="preserve"> HYPERLINK "http://www.mintaibank.com" </w:instrText>
      </w:r>
      <w:r>
        <w:fldChar w:fldCharType="separate"/>
      </w:r>
      <w:r>
        <w:rPr>
          <w:rFonts w:hint="eastAsia" w:ascii="仿宋_GB2312" w:hAnsi="宋体" w:eastAsia="仿宋_GB2312"/>
          <w:b/>
          <w:bCs/>
          <w:snapToGrid w:val="0"/>
          <w:kern w:val="0"/>
          <w:sz w:val="32"/>
          <w:szCs w:val="32"/>
        </w:rPr>
        <w:t>www.mintaibank.com</w:t>
      </w:r>
      <w:r>
        <w:rPr>
          <w:rFonts w:hint="eastAsia" w:ascii="仿宋_GB2312" w:hAnsi="宋体" w:eastAsia="仿宋_GB2312"/>
          <w:b/>
          <w:bCs/>
          <w:snapToGrid w:val="0"/>
          <w:kern w:val="0"/>
          <w:sz w:val="32"/>
          <w:szCs w:val="32"/>
        </w:rPr>
        <w:fldChar w:fldCharType="end"/>
      </w:r>
      <w:r>
        <w:rPr>
          <w:rFonts w:hint="eastAsia" w:ascii="仿宋_GB2312" w:hAnsi="宋体" w:eastAsia="仿宋_GB2312"/>
          <w:bCs/>
          <w:snapToGrid w:val="0"/>
          <w:kern w:val="0"/>
          <w:sz w:val="32"/>
          <w:szCs w:val="32"/>
        </w:rPr>
        <w:t>）公告通知乙方。若乙方有异议，有权选择办理心乐卡销户手续，若乙方选择不办理心乐卡销户手续的，视为同意接受并按上述修改、变化和调整后的内容执行。</w:t>
      </w:r>
    </w:p>
    <w:p>
      <w:pPr>
        <w:tabs>
          <w:tab w:val="left" w:pos="620"/>
        </w:tabs>
        <w:ind w:firstLine="637" w:firstLineChars="150"/>
        <w:rPr>
          <w:rFonts w:hint="eastAsia" w:ascii="仿宋_GB2312" w:hAnsi="宋体" w:eastAsia="仿宋_GB2312"/>
          <w:b/>
          <w:snapToGrid w:val="0"/>
          <w:kern w:val="0"/>
          <w:sz w:val="32"/>
          <w:szCs w:val="32"/>
        </w:rPr>
      </w:pPr>
      <w:r>
        <w:rPr>
          <w:rFonts w:hint="eastAsia" w:ascii="仿宋_GB2312" w:hAnsi="宋体" w:eastAsia="仿宋_GB2312"/>
          <w:bCs/>
          <w:snapToGrid w:val="0"/>
          <w:kern w:val="0"/>
          <w:sz w:val="32"/>
          <w:szCs w:val="32"/>
        </w:rPr>
        <w:t>三、</w:t>
      </w:r>
      <w:r>
        <w:rPr>
          <w:rFonts w:hint="eastAsia" w:ascii="仿宋_GB2312" w:hAnsi="宋体" w:eastAsia="仿宋_GB2312"/>
          <w:b/>
          <w:snapToGrid w:val="0"/>
          <w:kern w:val="0"/>
          <w:sz w:val="32"/>
          <w:szCs w:val="32"/>
        </w:rPr>
        <w:t>履行本《合约》发生的争议由双方协商解决；协商不成的，任何一方均可向《申请表》选定的人民法院提起诉讼。乙方同意以在甲方预留的单位地址或住宅地址、手机联系方式及电子邮箱等视为甲方向乙方送达与本合约相关的各类通知、协议等文件以及诉讼时（包括但不限于催收、一审、二审、再审及执行程序）相关文件或法律文书的送达地址。如双方发生诉讼，受诉法院向该单位地址或住宅地址、手机联系方式及电子邮箱邮寄或发送诉讼材料及相关诉讼信息的即视为送达。因乙方提供或者确认的送达地址不准确、或指定的人拒收等原因，导致诉讼材料和法律文书未能被乙方实际接收的，以文书退回之日视为送达之日；有多个送达地址时以相关材料最先到达某一送达地址的时间为送达时间。</w:t>
      </w:r>
    </w:p>
    <w:p>
      <w:pPr>
        <w:tabs>
          <w:tab w:val="left" w:pos="620"/>
        </w:tabs>
        <w:ind w:firstLine="637" w:firstLineChars="150"/>
        <w:rPr>
          <w:rFonts w:hint="eastAsia" w:ascii="仿宋_GB2312" w:hAnsi="宋体" w:eastAsia="仿宋_GB2312"/>
          <w:b/>
          <w:snapToGrid w:val="0"/>
          <w:kern w:val="0"/>
          <w:sz w:val="32"/>
          <w:szCs w:val="32"/>
        </w:rPr>
      </w:pPr>
      <w:r>
        <w:rPr>
          <w:rFonts w:hint="eastAsia" w:ascii="仿宋_GB2312" w:hAnsi="宋体" w:eastAsia="仿宋_GB2312"/>
          <w:b/>
          <w:snapToGrid w:val="0"/>
          <w:kern w:val="0"/>
          <w:sz w:val="32"/>
          <w:szCs w:val="32"/>
        </w:rPr>
        <w:t>乙方提供的寄送地址、手机联系方式及电子邮箱如有变更的，须书面形式主动通知甲方，否则视为未发生变动。</w:t>
      </w:r>
    </w:p>
    <w:p>
      <w:pPr>
        <w:tabs>
          <w:tab w:val="left" w:pos="620"/>
        </w:tabs>
        <w:ind w:firstLine="637" w:firstLineChars="150"/>
        <w:rPr>
          <w:rFonts w:hint="eastAsia" w:ascii="仿宋_GB2312" w:hAnsi="宋体" w:eastAsia="仿宋_GB2312"/>
          <w:b/>
          <w:snapToGrid w:val="0"/>
          <w:kern w:val="0"/>
          <w:sz w:val="32"/>
          <w:szCs w:val="32"/>
        </w:rPr>
      </w:pPr>
      <w:r>
        <w:rPr>
          <w:rFonts w:hint="eastAsia" w:ascii="仿宋_GB2312" w:hAnsi="宋体" w:eastAsia="仿宋_GB2312"/>
          <w:b/>
          <w:snapToGrid w:val="0"/>
          <w:kern w:val="0"/>
          <w:sz w:val="32"/>
          <w:szCs w:val="32"/>
        </w:rPr>
        <w:t>四、如乙方发生逾期等违约情形后，欠款本息在五万元以下的，诉至法院的，受诉法院为繁简分流试点法院的，法院将适用小额诉讼程序进行审理，一审终审。如乙方发生逾期等违约情形后，欠款本息在五万元以上，十万元以下的，为节约双方诉讼成本，现约定诉至法院的，受诉法院为繁简分流试点法院的，双方同意适用小额诉讼程序进行审理，一审终审。</w:t>
      </w:r>
    </w:p>
    <w:p>
      <w:pPr>
        <w:tabs>
          <w:tab w:val="left" w:pos="620"/>
        </w:tabs>
        <w:ind w:firstLine="637" w:firstLineChars="150"/>
        <w:rPr>
          <w:rFonts w:hint="eastAsia" w:ascii="仿宋_GB2312" w:hAnsi="宋体" w:eastAsia="仿宋_GB2312"/>
          <w:bCs/>
          <w:snapToGrid w:val="0"/>
          <w:kern w:val="0"/>
          <w:sz w:val="32"/>
          <w:szCs w:val="32"/>
        </w:rPr>
      </w:pPr>
      <w:r>
        <w:rPr>
          <w:rFonts w:hint="eastAsia" w:ascii="仿宋_GB2312" w:hAnsi="宋体" w:eastAsia="仿宋_GB2312"/>
          <w:bCs/>
          <w:snapToGrid w:val="0"/>
          <w:kern w:val="0"/>
          <w:sz w:val="32"/>
          <w:szCs w:val="32"/>
        </w:rPr>
        <w:t>五、如在任何时候本《合约》项下的任何一项或多项条款和条件，或其任何部分，已经或将成为无效，非法或不可执行，剩余条款的有效性、合法性或可执行性将不会因此以任何形式受到影响或损害。</w:t>
      </w:r>
    </w:p>
    <w:p>
      <w:pPr>
        <w:tabs>
          <w:tab w:val="left" w:pos="620"/>
        </w:tabs>
        <w:ind w:firstLine="637" w:firstLineChars="150"/>
        <w:rPr>
          <w:rFonts w:hint="eastAsia" w:ascii="仿宋_GB2312" w:hAnsi="宋体" w:eastAsia="仿宋_GB2312"/>
          <w:bCs/>
          <w:snapToGrid w:val="0"/>
          <w:kern w:val="0"/>
          <w:sz w:val="32"/>
          <w:szCs w:val="32"/>
        </w:rPr>
      </w:pPr>
      <w:r>
        <w:rPr>
          <w:rFonts w:hint="eastAsia" w:ascii="仿宋_GB2312" w:hAnsi="宋体" w:eastAsia="仿宋_GB2312"/>
          <w:bCs/>
          <w:snapToGrid w:val="0"/>
          <w:kern w:val="0"/>
          <w:sz w:val="32"/>
          <w:szCs w:val="32"/>
        </w:rPr>
        <w:t>六、乙方通过心乐</w:t>
      </w:r>
      <w:r>
        <w:rPr>
          <w:rFonts w:hint="eastAsia" w:ascii="仿宋_GB2312" w:hAnsi="宋体" w:eastAsia="仿宋_GB2312"/>
          <w:b/>
          <w:snapToGrid w:val="0"/>
          <w:kern w:val="0"/>
          <w:sz w:val="32"/>
          <w:szCs w:val="32"/>
        </w:rPr>
        <w:t>卡申请表签名或电子渠道验证等方式</w:t>
      </w:r>
      <w:r>
        <w:rPr>
          <w:rFonts w:hint="eastAsia" w:ascii="仿宋_GB2312" w:hAnsi="宋体" w:eastAsia="仿宋_GB2312"/>
          <w:bCs/>
          <w:snapToGrid w:val="0"/>
          <w:kern w:val="0"/>
          <w:sz w:val="32"/>
          <w:szCs w:val="32"/>
        </w:rPr>
        <w:t>确认并向甲方提交申领心乐卡的申请，</w:t>
      </w:r>
      <w:r>
        <w:rPr>
          <w:rFonts w:hint="eastAsia" w:ascii="仿宋_GB2312" w:hAnsi="宋体" w:eastAsia="仿宋_GB2312"/>
          <w:b/>
          <w:snapToGrid w:val="0"/>
          <w:kern w:val="0"/>
          <w:sz w:val="32"/>
          <w:szCs w:val="32"/>
        </w:rPr>
        <w:t>即视为乙方已通读并理解本合约及其附件的全部内容</w:t>
      </w:r>
      <w:r>
        <w:rPr>
          <w:rFonts w:hint="eastAsia" w:ascii="仿宋_GB2312" w:hAnsi="宋体" w:eastAsia="仿宋_GB2312"/>
          <w:bCs/>
          <w:snapToGrid w:val="0"/>
          <w:kern w:val="0"/>
          <w:sz w:val="32"/>
          <w:szCs w:val="32"/>
        </w:rPr>
        <w:t>，并同意接受其约束。本《合约》自甲方核准乙方申请并发放卡片之日起生效。</w:t>
      </w:r>
    </w:p>
    <w:p>
      <w:pPr>
        <w:tabs>
          <w:tab w:val="left" w:pos="620"/>
        </w:tabs>
        <w:ind w:firstLine="607" w:firstLineChars="150"/>
        <w:rPr>
          <w:rFonts w:ascii="仿宋_GB2312" w:hAnsi="宋体" w:eastAsia="仿宋_GB2312"/>
          <w:bCs/>
          <w:snapToGrid w:val="0"/>
          <w:kern w:val="0"/>
          <w:sz w:val="30"/>
          <w:szCs w:val="30"/>
        </w:rPr>
      </w:pPr>
    </w:p>
    <w:sectPr>
      <w:footerReference r:id="rId3" w:type="default"/>
      <w:footerReference r:id="rId4" w:type="even"/>
      <w:pgSz w:w="11906" w:h="16838"/>
      <w:pgMar w:top="2098" w:right="1474" w:bottom="1985" w:left="1588" w:header="851" w:footer="992" w:gutter="0"/>
      <w:pgNumType w:fmt="numberInDash"/>
      <w:cols w:space="425" w:num="1"/>
      <w:docGrid w:type="linesAndChars" w:linePitch="577"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31"/>
      </w:rPr>
    </w:pPr>
    <w:r>
      <w:rPr>
        <w:rStyle w:val="31"/>
      </w:rPr>
      <w:fldChar w:fldCharType="begin"/>
    </w:r>
    <w:r>
      <w:rPr>
        <w:rStyle w:val="31"/>
      </w:rPr>
      <w:instrText xml:space="preserve">PAGE  </w:instrText>
    </w:r>
    <w:r>
      <w:rPr>
        <w:rStyle w:val="31"/>
      </w:rPr>
      <w:fldChar w:fldCharType="separate"/>
    </w:r>
    <w:r>
      <w:rPr>
        <w:rStyle w:val="31"/>
      </w:rPr>
      <w:t>- 1 -</w:t>
    </w:r>
    <w:r>
      <w:rPr>
        <w:rStyle w:val="31"/>
      </w:rPr>
      <w:fldChar w:fldCharType="end"/>
    </w:r>
  </w:p>
  <w:p>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31"/>
      </w:rPr>
    </w:pPr>
    <w:r>
      <w:rPr>
        <w:rStyle w:val="31"/>
      </w:rPr>
      <w:fldChar w:fldCharType="begin"/>
    </w:r>
    <w:r>
      <w:rPr>
        <w:rStyle w:val="31"/>
      </w:rPr>
      <w:instrText xml:space="preserve">PAGE  </w:instrText>
    </w:r>
    <w:r>
      <w:rPr>
        <w:rStyle w:val="31"/>
      </w:rPr>
      <w:fldChar w:fldCharType="end"/>
    </w:r>
  </w:p>
  <w:p>
    <w:pPr>
      <w:pStyle w:val="1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HorizontalSpacing w:val="158"/>
  <w:drawingGridVerticalSpacing w:val="57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57A"/>
    <w:rsid w:val="000000EA"/>
    <w:rsid w:val="0000041B"/>
    <w:rsid w:val="0000192E"/>
    <w:rsid w:val="0000199D"/>
    <w:rsid w:val="000022FC"/>
    <w:rsid w:val="00003CF4"/>
    <w:rsid w:val="00004762"/>
    <w:rsid w:val="00004F6C"/>
    <w:rsid w:val="0000576B"/>
    <w:rsid w:val="0000675A"/>
    <w:rsid w:val="00007C04"/>
    <w:rsid w:val="00010A06"/>
    <w:rsid w:val="00011315"/>
    <w:rsid w:val="00012CF3"/>
    <w:rsid w:val="0001325B"/>
    <w:rsid w:val="00013967"/>
    <w:rsid w:val="0001399D"/>
    <w:rsid w:val="00013A8B"/>
    <w:rsid w:val="000140A3"/>
    <w:rsid w:val="00020B4E"/>
    <w:rsid w:val="00022C95"/>
    <w:rsid w:val="00023A4A"/>
    <w:rsid w:val="00023CE4"/>
    <w:rsid w:val="0002513E"/>
    <w:rsid w:val="00025B08"/>
    <w:rsid w:val="0002625F"/>
    <w:rsid w:val="00026369"/>
    <w:rsid w:val="00026E53"/>
    <w:rsid w:val="0002734B"/>
    <w:rsid w:val="00027B38"/>
    <w:rsid w:val="000304A0"/>
    <w:rsid w:val="000307DB"/>
    <w:rsid w:val="00030A4A"/>
    <w:rsid w:val="00030CA6"/>
    <w:rsid w:val="000324D1"/>
    <w:rsid w:val="0003318B"/>
    <w:rsid w:val="00033656"/>
    <w:rsid w:val="0003377D"/>
    <w:rsid w:val="0003689B"/>
    <w:rsid w:val="000372BA"/>
    <w:rsid w:val="000377A6"/>
    <w:rsid w:val="00037A9F"/>
    <w:rsid w:val="00041D0B"/>
    <w:rsid w:val="00041D78"/>
    <w:rsid w:val="000426BC"/>
    <w:rsid w:val="00043EC8"/>
    <w:rsid w:val="00043F13"/>
    <w:rsid w:val="00044691"/>
    <w:rsid w:val="00045CEB"/>
    <w:rsid w:val="00050576"/>
    <w:rsid w:val="000505D0"/>
    <w:rsid w:val="00053E49"/>
    <w:rsid w:val="0005488C"/>
    <w:rsid w:val="00054AD3"/>
    <w:rsid w:val="00054FAB"/>
    <w:rsid w:val="00057DD4"/>
    <w:rsid w:val="00060EA8"/>
    <w:rsid w:val="000610D0"/>
    <w:rsid w:val="00061665"/>
    <w:rsid w:val="00062A57"/>
    <w:rsid w:val="0006396C"/>
    <w:rsid w:val="00063A1E"/>
    <w:rsid w:val="00065A50"/>
    <w:rsid w:val="00065C2F"/>
    <w:rsid w:val="00067A36"/>
    <w:rsid w:val="0007180F"/>
    <w:rsid w:val="0007306F"/>
    <w:rsid w:val="00073909"/>
    <w:rsid w:val="00074606"/>
    <w:rsid w:val="00075104"/>
    <w:rsid w:val="0007751C"/>
    <w:rsid w:val="0007764E"/>
    <w:rsid w:val="00080F63"/>
    <w:rsid w:val="000816D7"/>
    <w:rsid w:val="00083393"/>
    <w:rsid w:val="00083B18"/>
    <w:rsid w:val="00083F07"/>
    <w:rsid w:val="00084BFA"/>
    <w:rsid w:val="00087C97"/>
    <w:rsid w:val="00087EF5"/>
    <w:rsid w:val="000904F7"/>
    <w:rsid w:val="00090584"/>
    <w:rsid w:val="00091234"/>
    <w:rsid w:val="00091E06"/>
    <w:rsid w:val="00093652"/>
    <w:rsid w:val="00093D06"/>
    <w:rsid w:val="00095997"/>
    <w:rsid w:val="00095F66"/>
    <w:rsid w:val="00096C69"/>
    <w:rsid w:val="000A1CDA"/>
    <w:rsid w:val="000A24C6"/>
    <w:rsid w:val="000A4F91"/>
    <w:rsid w:val="000A54CB"/>
    <w:rsid w:val="000A7837"/>
    <w:rsid w:val="000B22C4"/>
    <w:rsid w:val="000B2B95"/>
    <w:rsid w:val="000B4768"/>
    <w:rsid w:val="000B5043"/>
    <w:rsid w:val="000B6FC1"/>
    <w:rsid w:val="000B710D"/>
    <w:rsid w:val="000B728C"/>
    <w:rsid w:val="000B7712"/>
    <w:rsid w:val="000C127B"/>
    <w:rsid w:val="000C2450"/>
    <w:rsid w:val="000C26E9"/>
    <w:rsid w:val="000C4668"/>
    <w:rsid w:val="000C48F8"/>
    <w:rsid w:val="000C6DF6"/>
    <w:rsid w:val="000D09C0"/>
    <w:rsid w:val="000D179C"/>
    <w:rsid w:val="000D1B2C"/>
    <w:rsid w:val="000D1C14"/>
    <w:rsid w:val="000D2B21"/>
    <w:rsid w:val="000D3110"/>
    <w:rsid w:val="000D371D"/>
    <w:rsid w:val="000D4125"/>
    <w:rsid w:val="000D4FE3"/>
    <w:rsid w:val="000D67A2"/>
    <w:rsid w:val="000D6D2F"/>
    <w:rsid w:val="000D7048"/>
    <w:rsid w:val="000D759F"/>
    <w:rsid w:val="000D7936"/>
    <w:rsid w:val="000E0A7B"/>
    <w:rsid w:val="000E1130"/>
    <w:rsid w:val="000E2264"/>
    <w:rsid w:val="000E2977"/>
    <w:rsid w:val="000E4AA2"/>
    <w:rsid w:val="000E6312"/>
    <w:rsid w:val="000E66BE"/>
    <w:rsid w:val="000E69A3"/>
    <w:rsid w:val="000E774B"/>
    <w:rsid w:val="000F084F"/>
    <w:rsid w:val="000F1FD6"/>
    <w:rsid w:val="000F24CC"/>
    <w:rsid w:val="000F4386"/>
    <w:rsid w:val="000F4628"/>
    <w:rsid w:val="000F4743"/>
    <w:rsid w:val="000F4A98"/>
    <w:rsid w:val="000F6BCE"/>
    <w:rsid w:val="000F77B9"/>
    <w:rsid w:val="000F77CB"/>
    <w:rsid w:val="00100F96"/>
    <w:rsid w:val="00101A17"/>
    <w:rsid w:val="00102CB5"/>
    <w:rsid w:val="00102EDD"/>
    <w:rsid w:val="001046E1"/>
    <w:rsid w:val="0010617F"/>
    <w:rsid w:val="0010673D"/>
    <w:rsid w:val="00106C8C"/>
    <w:rsid w:val="00107615"/>
    <w:rsid w:val="001104BF"/>
    <w:rsid w:val="001104D3"/>
    <w:rsid w:val="00110758"/>
    <w:rsid w:val="001110C0"/>
    <w:rsid w:val="0011156E"/>
    <w:rsid w:val="00112500"/>
    <w:rsid w:val="001131DD"/>
    <w:rsid w:val="00113962"/>
    <w:rsid w:val="001139AC"/>
    <w:rsid w:val="00114425"/>
    <w:rsid w:val="0011490C"/>
    <w:rsid w:val="00114F01"/>
    <w:rsid w:val="0011532A"/>
    <w:rsid w:val="0011568B"/>
    <w:rsid w:val="00115C69"/>
    <w:rsid w:val="00115D95"/>
    <w:rsid w:val="0012021D"/>
    <w:rsid w:val="00120F02"/>
    <w:rsid w:val="001218C9"/>
    <w:rsid w:val="00122188"/>
    <w:rsid w:val="00122195"/>
    <w:rsid w:val="00122C34"/>
    <w:rsid w:val="00123091"/>
    <w:rsid w:val="00123DE7"/>
    <w:rsid w:val="001257B2"/>
    <w:rsid w:val="00130391"/>
    <w:rsid w:val="0013051C"/>
    <w:rsid w:val="001305FA"/>
    <w:rsid w:val="00131140"/>
    <w:rsid w:val="001311DB"/>
    <w:rsid w:val="0013271C"/>
    <w:rsid w:val="00132839"/>
    <w:rsid w:val="00133815"/>
    <w:rsid w:val="00133CC7"/>
    <w:rsid w:val="00133FEB"/>
    <w:rsid w:val="00135235"/>
    <w:rsid w:val="00135EED"/>
    <w:rsid w:val="0013636D"/>
    <w:rsid w:val="001367F5"/>
    <w:rsid w:val="00137F7C"/>
    <w:rsid w:val="00140154"/>
    <w:rsid w:val="00140DD1"/>
    <w:rsid w:val="001419B4"/>
    <w:rsid w:val="00141FC1"/>
    <w:rsid w:val="001420CD"/>
    <w:rsid w:val="00142818"/>
    <w:rsid w:val="001436E2"/>
    <w:rsid w:val="00143EDF"/>
    <w:rsid w:val="001451F1"/>
    <w:rsid w:val="001453A7"/>
    <w:rsid w:val="00145433"/>
    <w:rsid w:val="001454C8"/>
    <w:rsid w:val="00153FCB"/>
    <w:rsid w:val="00155533"/>
    <w:rsid w:val="00156396"/>
    <w:rsid w:val="00156B68"/>
    <w:rsid w:val="00156D90"/>
    <w:rsid w:val="001577D1"/>
    <w:rsid w:val="0016018B"/>
    <w:rsid w:val="00160453"/>
    <w:rsid w:val="00161022"/>
    <w:rsid w:val="0016109D"/>
    <w:rsid w:val="00162E98"/>
    <w:rsid w:val="0016452F"/>
    <w:rsid w:val="00164591"/>
    <w:rsid w:val="00165458"/>
    <w:rsid w:val="001665F3"/>
    <w:rsid w:val="00166AB8"/>
    <w:rsid w:val="00170AEE"/>
    <w:rsid w:val="00170C23"/>
    <w:rsid w:val="001710C7"/>
    <w:rsid w:val="00172113"/>
    <w:rsid w:val="00172321"/>
    <w:rsid w:val="001739EF"/>
    <w:rsid w:val="001745C2"/>
    <w:rsid w:val="00174E2F"/>
    <w:rsid w:val="001768D4"/>
    <w:rsid w:val="001773FB"/>
    <w:rsid w:val="00177BAE"/>
    <w:rsid w:val="00180DD9"/>
    <w:rsid w:val="00181321"/>
    <w:rsid w:val="001834F8"/>
    <w:rsid w:val="0018371D"/>
    <w:rsid w:val="00184D77"/>
    <w:rsid w:val="0019039C"/>
    <w:rsid w:val="0019157D"/>
    <w:rsid w:val="0019285B"/>
    <w:rsid w:val="00192FEC"/>
    <w:rsid w:val="001942E1"/>
    <w:rsid w:val="001947F1"/>
    <w:rsid w:val="001950E9"/>
    <w:rsid w:val="00195D06"/>
    <w:rsid w:val="00197723"/>
    <w:rsid w:val="001A113F"/>
    <w:rsid w:val="001A12F4"/>
    <w:rsid w:val="001A2105"/>
    <w:rsid w:val="001A4623"/>
    <w:rsid w:val="001A49C5"/>
    <w:rsid w:val="001A4C54"/>
    <w:rsid w:val="001A526F"/>
    <w:rsid w:val="001A572A"/>
    <w:rsid w:val="001A6AEE"/>
    <w:rsid w:val="001A795D"/>
    <w:rsid w:val="001A7F74"/>
    <w:rsid w:val="001B124B"/>
    <w:rsid w:val="001B2059"/>
    <w:rsid w:val="001B213B"/>
    <w:rsid w:val="001B32FE"/>
    <w:rsid w:val="001B4511"/>
    <w:rsid w:val="001B4D9D"/>
    <w:rsid w:val="001C0E91"/>
    <w:rsid w:val="001C29EF"/>
    <w:rsid w:val="001C3457"/>
    <w:rsid w:val="001C42BD"/>
    <w:rsid w:val="001C42E5"/>
    <w:rsid w:val="001C49B1"/>
    <w:rsid w:val="001C5250"/>
    <w:rsid w:val="001C5E6C"/>
    <w:rsid w:val="001C7E28"/>
    <w:rsid w:val="001D23C0"/>
    <w:rsid w:val="001D2C80"/>
    <w:rsid w:val="001D2DCC"/>
    <w:rsid w:val="001D3218"/>
    <w:rsid w:val="001D5260"/>
    <w:rsid w:val="001D6388"/>
    <w:rsid w:val="001D6E6C"/>
    <w:rsid w:val="001E0B2C"/>
    <w:rsid w:val="001E1E6D"/>
    <w:rsid w:val="001E2948"/>
    <w:rsid w:val="001E2CF6"/>
    <w:rsid w:val="001E3722"/>
    <w:rsid w:val="001E428E"/>
    <w:rsid w:val="001E486E"/>
    <w:rsid w:val="001E4A20"/>
    <w:rsid w:val="001E6D3C"/>
    <w:rsid w:val="001E6E05"/>
    <w:rsid w:val="001E6FF5"/>
    <w:rsid w:val="001E732E"/>
    <w:rsid w:val="001F17CC"/>
    <w:rsid w:val="001F1918"/>
    <w:rsid w:val="001F1BDE"/>
    <w:rsid w:val="001F1FB2"/>
    <w:rsid w:val="001F2198"/>
    <w:rsid w:val="001F29C0"/>
    <w:rsid w:val="001F2B62"/>
    <w:rsid w:val="001F31B3"/>
    <w:rsid w:val="001F4C30"/>
    <w:rsid w:val="001F4E19"/>
    <w:rsid w:val="001F5A15"/>
    <w:rsid w:val="001F5B92"/>
    <w:rsid w:val="001F5F1C"/>
    <w:rsid w:val="001F65FB"/>
    <w:rsid w:val="001F660A"/>
    <w:rsid w:val="001F6899"/>
    <w:rsid w:val="001F7040"/>
    <w:rsid w:val="002000C1"/>
    <w:rsid w:val="00200C39"/>
    <w:rsid w:val="0020123A"/>
    <w:rsid w:val="00201BD7"/>
    <w:rsid w:val="00202F4F"/>
    <w:rsid w:val="002034BF"/>
    <w:rsid w:val="00203AA4"/>
    <w:rsid w:val="00204740"/>
    <w:rsid w:val="00204C38"/>
    <w:rsid w:val="00205353"/>
    <w:rsid w:val="002057E2"/>
    <w:rsid w:val="00206FDA"/>
    <w:rsid w:val="00207880"/>
    <w:rsid w:val="00210463"/>
    <w:rsid w:val="002111BD"/>
    <w:rsid w:val="002118DE"/>
    <w:rsid w:val="00211B9A"/>
    <w:rsid w:val="00212019"/>
    <w:rsid w:val="00212089"/>
    <w:rsid w:val="002139FB"/>
    <w:rsid w:val="00214CB3"/>
    <w:rsid w:val="00215C72"/>
    <w:rsid w:val="0021693B"/>
    <w:rsid w:val="00217B78"/>
    <w:rsid w:val="00217DDE"/>
    <w:rsid w:val="002203AF"/>
    <w:rsid w:val="002206BD"/>
    <w:rsid w:val="00222524"/>
    <w:rsid w:val="002226B9"/>
    <w:rsid w:val="00224778"/>
    <w:rsid w:val="002248EE"/>
    <w:rsid w:val="00224E72"/>
    <w:rsid w:val="002250E2"/>
    <w:rsid w:val="002310B1"/>
    <w:rsid w:val="002316C1"/>
    <w:rsid w:val="00231AC9"/>
    <w:rsid w:val="00231D1B"/>
    <w:rsid w:val="00233830"/>
    <w:rsid w:val="00233967"/>
    <w:rsid w:val="002354D4"/>
    <w:rsid w:val="002369FA"/>
    <w:rsid w:val="002371E2"/>
    <w:rsid w:val="00237C86"/>
    <w:rsid w:val="00240B78"/>
    <w:rsid w:val="00240BC0"/>
    <w:rsid w:val="002411DB"/>
    <w:rsid w:val="00241627"/>
    <w:rsid w:val="00243336"/>
    <w:rsid w:val="00244228"/>
    <w:rsid w:val="00244535"/>
    <w:rsid w:val="0024521B"/>
    <w:rsid w:val="0024697C"/>
    <w:rsid w:val="00250CE6"/>
    <w:rsid w:val="00251CAD"/>
    <w:rsid w:val="0025245B"/>
    <w:rsid w:val="002537FC"/>
    <w:rsid w:val="00253942"/>
    <w:rsid w:val="002543ED"/>
    <w:rsid w:val="002544B3"/>
    <w:rsid w:val="002549B5"/>
    <w:rsid w:val="00255F55"/>
    <w:rsid w:val="002567AA"/>
    <w:rsid w:val="00257404"/>
    <w:rsid w:val="00261A79"/>
    <w:rsid w:val="00261E84"/>
    <w:rsid w:val="002623A2"/>
    <w:rsid w:val="00264003"/>
    <w:rsid w:val="002645D1"/>
    <w:rsid w:val="00264653"/>
    <w:rsid w:val="002648E4"/>
    <w:rsid w:val="00265158"/>
    <w:rsid w:val="00265214"/>
    <w:rsid w:val="00265239"/>
    <w:rsid w:val="0026766A"/>
    <w:rsid w:val="0026779D"/>
    <w:rsid w:val="00270B9E"/>
    <w:rsid w:val="00271C65"/>
    <w:rsid w:val="00271DBE"/>
    <w:rsid w:val="00272596"/>
    <w:rsid w:val="002728D9"/>
    <w:rsid w:val="00272EE1"/>
    <w:rsid w:val="0027362A"/>
    <w:rsid w:val="002739D9"/>
    <w:rsid w:val="002810A0"/>
    <w:rsid w:val="00281475"/>
    <w:rsid w:val="0028150A"/>
    <w:rsid w:val="002817A7"/>
    <w:rsid w:val="00281D5F"/>
    <w:rsid w:val="00282FA6"/>
    <w:rsid w:val="00285FBD"/>
    <w:rsid w:val="00286705"/>
    <w:rsid w:val="002870FF"/>
    <w:rsid w:val="0028797B"/>
    <w:rsid w:val="0029314F"/>
    <w:rsid w:val="0029498D"/>
    <w:rsid w:val="00295069"/>
    <w:rsid w:val="0029727E"/>
    <w:rsid w:val="002A0909"/>
    <w:rsid w:val="002A0BBA"/>
    <w:rsid w:val="002A188C"/>
    <w:rsid w:val="002A29EA"/>
    <w:rsid w:val="002A4076"/>
    <w:rsid w:val="002A6AAD"/>
    <w:rsid w:val="002A7281"/>
    <w:rsid w:val="002A73F3"/>
    <w:rsid w:val="002A7D5F"/>
    <w:rsid w:val="002A7DF6"/>
    <w:rsid w:val="002B041D"/>
    <w:rsid w:val="002B0576"/>
    <w:rsid w:val="002B0BC3"/>
    <w:rsid w:val="002B270E"/>
    <w:rsid w:val="002B2764"/>
    <w:rsid w:val="002B3375"/>
    <w:rsid w:val="002B36A2"/>
    <w:rsid w:val="002B437D"/>
    <w:rsid w:val="002B45B9"/>
    <w:rsid w:val="002B611D"/>
    <w:rsid w:val="002C02D9"/>
    <w:rsid w:val="002C07F5"/>
    <w:rsid w:val="002C0A1B"/>
    <w:rsid w:val="002C1159"/>
    <w:rsid w:val="002C1356"/>
    <w:rsid w:val="002C2D4C"/>
    <w:rsid w:val="002C2EA0"/>
    <w:rsid w:val="002C4E1C"/>
    <w:rsid w:val="002C4F1F"/>
    <w:rsid w:val="002C5557"/>
    <w:rsid w:val="002C55E0"/>
    <w:rsid w:val="002C654D"/>
    <w:rsid w:val="002C7B3D"/>
    <w:rsid w:val="002C7C87"/>
    <w:rsid w:val="002D11B6"/>
    <w:rsid w:val="002D198F"/>
    <w:rsid w:val="002D2881"/>
    <w:rsid w:val="002D29CE"/>
    <w:rsid w:val="002D2F26"/>
    <w:rsid w:val="002D31D5"/>
    <w:rsid w:val="002D348B"/>
    <w:rsid w:val="002D4E26"/>
    <w:rsid w:val="002D4F06"/>
    <w:rsid w:val="002D51B8"/>
    <w:rsid w:val="002D5B44"/>
    <w:rsid w:val="002D5E6A"/>
    <w:rsid w:val="002D6B54"/>
    <w:rsid w:val="002D756D"/>
    <w:rsid w:val="002E02A3"/>
    <w:rsid w:val="002E03EF"/>
    <w:rsid w:val="002E0622"/>
    <w:rsid w:val="002E0E0B"/>
    <w:rsid w:val="002E0FCB"/>
    <w:rsid w:val="002E1175"/>
    <w:rsid w:val="002E19E6"/>
    <w:rsid w:val="002E1AEB"/>
    <w:rsid w:val="002E2B87"/>
    <w:rsid w:val="002E2BA2"/>
    <w:rsid w:val="002E337F"/>
    <w:rsid w:val="002E61CC"/>
    <w:rsid w:val="002E6675"/>
    <w:rsid w:val="002E6EB6"/>
    <w:rsid w:val="002E718C"/>
    <w:rsid w:val="002E79E8"/>
    <w:rsid w:val="002E7A6D"/>
    <w:rsid w:val="002F0059"/>
    <w:rsid w:val="002F06CF"/>
    <w:rsid w:val="002F1445"/>
    <w:rsid w:val="002F14DD"/>
    <w:rsid w:val="002F173A"/>
    <w:rsid w:val="002F1CAE"/>
    <w:rsid w:val="002F21A8"/>
    <w:rsid w:val="002F4619"/>
    <w:rsid w:val="002F56AF"/>
    <w:rsid w:val="002F5C85"/>
    <w:rsid w:val="002F5D4D"/>
    <w:rsid w:val="002F648C"/>
    <w:rsid w:val="002F71E8"/>
    <w:rsid w:val="002F7B05"/>
    <w:rsid w:val="0030246B"/>
    <w:rsid w:val="00302E5B"/>
    <w:rsid w:val="00302F3C"/>
    <w:rsid w:val="003037D5"/>
    <w:rsid w:val="00303FB5"/>
    <w:rsid w:val="00304496"/>
    <w:rsid w:val="00304E49"/>
    <w:rsid w:val="00304F18"/>
    <w:rsid w:val="00305E6F"/>
    <w:rsid w:val="00306296"/>
    <w:rsid w:val="00306BB2"/>
    <w:rsid w:val="00306F4A"/>
    <w:rsid w:val="00307925"/>
    <w:rsid w:val="0031077D"/>
    <w:rsid w:val="00310EE4"/>
    <w:rsid w:val="00310F7D"/>
    <w:rsid w:val="00311865"/>
    <w:rsid w:val="003125BB"/>
    <w:rsid w:val="003161F4"/>
    <w:rsid w:val="00316FF1"/>
    <w:rsid w:val="003172AE"/>
    <w:rsid w:val="00317DD1"/>
    <w:rsid w:val="0032186A"/>
    <w:rsid w:val="00321DA8"/>
    <w:rsid w:val="00326648"/>
    <w:rsid w:val="00327090"/>
    <w:rsid w:val="003309C0"/>
    <w:rsid w:val="003309FB"/>
    <w:rsid w:val="00330BAB"/>
    <w:rsid w:val="003319E8"/>
    <w:rsid w:val="00331F53"/>
    <w:rsid w:val="0033338C"/>
    <w:rsid w:val="00333A19"/>
    <w:rsid w:val="0033499D"/>
    <w:rsid w:val="00334A81"/>
    <w:rsid w:val="003377FE"/>
    <w:rsid w:val="00342098"/>
    <w:rsid w:val="00343787"/>
    <w:rsid w:val="00343D90"/>
    <w:rsid w:val="00343F66"/>
    <w:rsid w:val="00345FE7"/>
    <w:rsid w:val="00347808"/>
    <w:rsid w:val="00351531"/>
    <w:rsid w:val="0035172C"/>
    <w:rsid w:val="00355856"/>
    <w:rsid w:val="0035621C"/>
    <w:rsid w:val="00356CD7"/>
    <w:rsid w:val="0035765B"/>
    <w:rsid w:val="00357BFB"/>
    <w:rsid w:val="003603E9"/>
    <w:rsid w:val="00360475"/>
    <w:rsid w:val="00361E36"/>
    <w:rsid w:val="0036236A"/>
    <w:rsid w:val="00362AF3"/>
    <w:rsid w:val="00363202"/>
    <w:rsid w:val="00363CBE"/>
    <w:rsid w:val="0036552E"/>
    <w:rsid w:val="003667D5"/>
    <w:rsid w:val="0037056A"/>
    <w:rsid w:val="0037083E"/>
    <w:rsid w:val="00370C23"/>
    <w:rsid w:val="00371F0A"/>
    <w:rsid w:val="00372F1A"/>
    <w:rsid w:val="0037539C"/>
    <w:rsid w:val="003808F0"/>
    <w:rsid w:val="003810A6"/>
    <w:rsid w:val="00381ACB"/>
    <w:rsid w:val="00382DF6"/>
    <w:rsid w:val="00383E20"/>
    <w:rsid w:val="0038446B"/>
    <w:rsid w:val="003861F9"/>
    <w:rsid w:val="00386484"/>
    <w:rsid w:val="003900F3"/>
    <w:rsid w:val="0039081F"/>
    <w:rsid w:val="00390E8D"/>
    <w:rsid w:val="00391ACC"/>
    <w:rsid w:val="0039247C"/>
    <w:rsid w:val="00394874"/>
    <w:rsid w:val="00394FD8"/>
    <w:rsid w:val="003950E8"/>
    <w:rsid w:val="003955E5"/>
    <w:rsid w:val="00395DC9"/>
    <w:rsid w:val="003960BF"/>
    <w:rsid w:val="00397A2F"/>
    <w:rsid w:val="003A0526"/>
    <w:rsid w:val="003A254F"/>
    <w:rsid w:val="003A2B5F"/>
    <w:rsid w:val="003A345A"/>
    <w:rsid w:val="003A4693"/>
    <w:rsid w:val="003A51DD"/>
    <w:rsid w:val="003A52AE"/>
    <w:rsid w:val="003A57F6"/>
    <w:rsid w:val="003A6EA7"/>
    <w:rsid w:val="003A7066"/>
    <w:rsid w:val="003B0416"/>
    <w:rsid w:val="003B219A"/>
    <w:rsid w:val="003B38FE"/>
    <w:rsid w:val="003B53E3"/>
    <w:rsid w:val="003B55E9"/>
    <w:rsid w:val="003C4516"/>
    <w:rsid w:val="003C5FE6"/>
    <w:rsid w:val="003C6A92"/>
    <w:rsid w:val="003D1FA5"/>
    <w:rsid w:val="003D2023"/>
    <w:rsid w:val="003D250D"/>
    <w:rsid w:val="003D312B"/>
    <w:rsid w:val="003D4ED6"/>
    <w:rsid w:val="003D5F6A"/>
    <w:rsid w:val="003D5F77"/>
    <w:rsid w:val="003D7522"/>
    <w:rsid w:val="003D7A96"/>
    <w:rsid w:val="003E241F"/>
    <w:rsid w:val="003E3DDD"/>
    <w:rsid w:val="003E4126"/>
    <w:rsid w:val="003E4740"/>
    <w:rsid w:val="003E4969"/>
    <w:rsid w:val="003E4CA8"/>
    <w:rsid w:val="003E5EFB"/>
    <w:rsid w:val="003E724B"/>
    <w:rsid w:val="003F0961"/>
    <w:rsid w:val="003F09A2"/>
    <w:rsid w:val="003F0E50"/>
    <w:rsid w:val="003F16D8"/>
    <w:rsid w:val="003F2A6E"/>
    <w:rsid w:val="003F4654"/>
    <w:rsid w:val="003F67BA"/>
    <w:rsid w:val="003F6934"/>
    <w:rsid w:val="003F74CC"/>
    <w:rsid w:val="003F7CA5"/>
    <w:rsid w:val="00401A51"/>
    <w:rsid w:val="00402FC7"/>
    <w:rsid w:val="00403BBF"/>
    <w:rsid w:val="00403E49"/>
    <w:rsid w:val="00405764"/>
    <w:rsid w:val="004058AD"/>
    <w:rsid w:val="00405AE8"/>
    <w:rsid w:val="00406526"/>
    <w:rsid w:val="004066A6"/>
    <w:rsid w:val="00407D72"/>
    <w:rsid w:val="004107C4"/>
    <w:rsid w:val="00410830"/>
    <w:rsid w:val="0041200F"/>
    <w:rsid w:val="0041252E"/>
    <w:rsid w:val="00415094"/>
    <w:rsid w:val="004150CA"/>
    <w:rsid w:val="004158B1"/>
    <w:rsid w:val="004159B8"/>
    <w:rsid w:val="00416B03"/>
    <w:rsid w:val="0041737D"/>
    <w:rsid w:val="0041779F"/>
    <w:rsid w:val="00420DE7"/>
    <w:rsid w:val="00421D95"/>
    <w:rsid w:val="0042261C"/>
    <w:rsid w:val="00422A3A"/>
    <w:rsid w:val="004239B4"/>
    <w:rsid w:val="004242B1"/>
    <w:rsid w:val="004250FB"/>
    <w:rsid w:val="004252C0"/>
    <w:rsid w:val="00425333"/>
    <w:rsid w:val="00426390"/>
    <w:rsid w:val="00426847"/>
    <w:rsid w:val="00427A74"/>
    <w:rsid w:val="004302F2"/>
    <w:rsid w:val="0043040F"/>
    <w:rsid w:val="0043085A"/>
    <w:rsid w:val="00430C83"/>
    <w:rsid w:val="00431051"/>
    <w:rsid w:val="00431102"/>
    <w:rsid w:val="004325E6"/>
    <w:rsid w:val="00432906"/>
    <w:rsid w:val="00433D65"/>
    <w:rsid w:val="00433F18"/>
    <w:rsid w:val="00434D71"/>
    <w:rsid w:val="004352AB"/>
    <w:rsid w:val="0043589E"/>
    <w:rsid w:val="004361DF"/>
    <w:rsid w:val="00436893"/>
    <w:rsid w:val="004413C5"/>
    <w:rsid w:val="00441FD3"/>
    <w:rsid w:val="004421C6"/>
    <w:rsid w:val="004447F9"/>
    <w:rsid w:val="0044496E"/>
    <w:rsid w:val="00444B73"/>
    <w:rsid w:val="00445F13"/>
    <w:rsid w:val="004461FD"/>
    <w:rsid w:val="00446CC1"/>
    <w:rsid w:val="004472DB"/>
    <w:rsid w:val="00450ECF"/>
    <w:rsid w:val="00451C2D"/>
    <w:rsid w:val="00452A3D"/>
    <w:rsid w:val="00455046"/>
    <w:rsid w:val="004556B3"/>
    <w:rsid w:val="00455C79"/>
    <w:rsid w:val="004566C5"/>
    <w:rsid w:val="00457A0D"/>
    <w:rsid w:val="00457C25"/>
    <w:rsid w:val="00457F61"/>
    <w:rsid w:val="00461BBA"/>
    <w:rsid w:val="004635E6"/>
    <w:rsid w:val="00466C8F"/>
    <w:rsid w:val="00467024"/>
    <w:rsid w:val="00467102"/>
    <w:rsid w:val="00467C31"/>
    <w:rsid w:val="004708E5"/>
    <w:rsid w:val="0047144F"/>
    <w:rsid w:val="00471E8A"/>
    <w:rsid w:val="0047247C"/>
    <w:rsid w:val="00472FE3"/>
    <w:rsid w:val="0047527A"/>
    <w:rsid w:val="00475372"/>
    <w:rsid w:val="004756D8"/>
    <w:rsid w:val="00476040"/>
    <w:rsid w:val="004773FD"/>
    <w:rsid w:val="00477407"/>
    <w:rsid w:val="00477551"/>
    <w:rsid w:val="00477E8F"/>
    <w:rsid w:val="00480BCD"/>
    <w:rsid w:val="00484715"/>
    <w:rsid w:val="00485D1F"/>
    <w:rsid w:val="00485F75"/>
    <w:rsid w:val="0048612F"/>
    <w:rsid w:val="00486528"/>
    <w:rsid w:val="00487466"/>
    <w:rsid w:val="00487802"/>
    <w:rsid w:val="00487C01"/>
    <w:rsid w:val="004909E3"/>
    <w:rsid w:val="004923DB"/>
    <w:rsid w:val="00493180"/>
    <w:rsid w:val="00493805"/>
    <w:rsid w:val="00494A2E"/>
    <w:rsid w:val="004950EC"/>
    <w:rsid w:val="0049603F"/>
    <w:rsid w:val="004972C1"/>
    <w:rsid w:val="00497424"/>
    <w:rsid w:val="00497E75"/>
    <w:rsid w:val="004A05BE"/>
    <w:rsid w:val="004A1243"/>
    <w:rsid w:val="004A5590"/>
    <w:rsid w:val="004B00AD"/>
    <w:rsid w:val="004B02E3"/>
    <w:rsid w:val="004B0BAD"/>
    <w:rsid w:val="004B2492"/>
    <w:rsid w:val="004B277A"/>
    <w:rsid w:val="004B2815"/>
    <w:rsid w:val="004B3BF2"/>
    <w:rsid w:val="004B42E1"/>
    <w:rsid w:val="004B4695"/>
    <w:rsid w:val="004B4CC1"/>
    <w:rsid w:val="004B578C"/>
    <w:rsid w:val="004B6202"/>
    <w:rsid w:val="004C0E59"/>
    <w:rsid w:val="004C0F17"/>
    <w:rsid w:val="004C0FCB"/>
    <w:rsid w:val="004C2902"/>
    <w:rsid w:val="004C2B51"/>
    <w:rsid w:val="004C377F"/>
    <w:rsid w:val="004C4BEB"/>
    <w:rsid w:val="004C562F"/>
    <w:rsid w:val="004C72CE"/>
    <w:rsid w:val="004D0CAE"/>
    <w:rsid w:val="004D1891"/>
    <w:rsid w:val="004D1B74"/>
    <w:rsid w:val="004D1D65"/>
    <w:rsid w:val="004D2C8F"/>
    <w:rsid w:val="004D307F"/>
    <w:rsid w:val="004D3FF2"/>
    <w:rsid w:val="004D4DF1"/>
    <w:rsid w:val="004D6A80"/>
    <w:rsid w:val="004D6CDB"/>
    <w:rsid w:val="004D785D"/>
    <w:rsid w:val="004D7AFE"/>
    <w:rsid w:val="004E0077"/>
    <w:rsid w:val="004E070B"/>
    <w:rsid w:val="004E3791"/>
    <w:rsid w:val="004E51C5"/>
    <w:rsid w:val="004E5B57"/>
    <w:rsid w:val="004E5DCB"/>
    <w:rsid w:val="004E643E"/>
    <w:rsid w:val="004E644A"/>
    <w:rsid w:val="004E7308"/>
    <w:rsid w:val="004E73E7"/>
    <w:rsid w:val="004E75B4"/>
    <w:rsid w:val="004F056B"/>
    <w:rsid w:val="004F15B9"/>
    <w:rsid w:val="004F1C36"/>
    <w:rsid w:val="004F1F9A"/>
    <w:rsid w:val="004F1FEC"/>
    <w:rsid w:val="004F2E21"/>
    <w:rsid w:val="004F344F"/>
    <w:rsid w:val="004F3F7A"/>
    <w:rsid w:val="004F4369"/>
    <w:rsid w:val="004F581A"/>
    <w:rsid w:val="004F5916"/>
    <w:rsid w:val="004F6162"/>
    <w:rsid w:val="004F7350"/>
    <w:rsid w:val="005016D5"/>
    <w:rsid w:val="00502BA2"/>
    <w:rsid w:val="0050305C"/>
    <w:rsid w:val="00503AFD"/>
    <w:rsid w:val="0050412F"/>
    <w:rsid w:val="005044F5"/>
    <w:rsid w:val="0050483D"/>
    <w:rsid w:val="00506553"/>
    <w:rsid w:val="0050698E"/>
    <w:rsid w:val="00506AEB"/>
    <w:rsid w:val="0050726F"/>
    <w:rsid w:val="0051292A"/>
    <w:rsid w:val="00513399"/>
    <w:rsid w:val="00516A62"/>
    <w:rsid w:val="00517560"/>
    <w:rsid w:val="0052004C"/>
    <w:rsid w:val="00520D9C"/>
    <w:rsid w:val="0052336A"/>
    <w:rsid w:val="0052356C"/>
    <w:rsid w:val="0052496D"/>
    <w:rsid w:val="005249A2"/>
    <w:rsid w:val="00524C10"/>
    <w:rsid w:val="00525146"/>
    <w:rsid w:val="00525322"/>
    <w:rsid w:val="005269F3"/>
    <w:rsid w:val="0052734C"/>
    <w:rsid w:val="005301DE"/>
    <w:rsid w:val="00530A36"/>
    <w:rsid w:val="00533F4E"/>
    <w:rsid w:val="005350F3"/>
    <w:rsid w:val="00535207"/>
    <w:rsid w:val="00535C08"/>
    <w:rsid w:val="00541308"/>
    <w:rsid w:val="005413D1"/>
    <w:rsid w:val="005416A9"/>
    <w:rsid w:val="0054184D"/>
    <w:rsid w:val="00541C87"/>
    <w:rsid w:val="0054358D"/>
    <w:rsid w:val="005440DC"/>
    <w:rsid w:val="005440FB"/>
    <w:rsid w:val="00544567"/>
    <w:rsid w:val="005453ED"/>
    <w:rsid w:val="0054566B"/>
    <w:rsid w:val="00546FBF"/>
    <w:rsid w:val="0054788F"/>
    <w:rsid w:val="0054793D"/>
    <w:rsid w:val="0055005B"/>
    <w:rsid w:val="00550208"/>
    <w:rsid w:val="00551D1B"/>
    <w:rsid w:val="00552410"/>
    <w:rsid w:val="00552F5A"/>
    <w:rsid w:val="00553480"/>
    <w:rsid w:val="00553ABB"/>
    <w:rsid w:val="00555DC1"/>
    <w:rsid w:val="0055606B"/>
    <w:rsid w:val="00557FB6"/>
    <w:rsid w:val="005605EE"/>
    <w:rsid w:val="00561E50"/>
    <w:rsid w:val="005623AD"/>
    <w:rsid w:val="00563D37"/>
    <w:rsid w:val="00564909"/>
    <w:rsid w:val="00564CA8"/>
    <w:rsid w:val="00565D0D"/>
    <w:rsid w:val="00566B98"/>
    <w:rsid w:val="005677C7"/>
    <w:rsid w:val="00567C90"/>
    <w:rsid w:val="00567CA6"/>
    <w:rsid w:val="0057165C"/>
    <w:rsid w:val="00572F0C"/>
    <w:rsid w:val="0057368F"/>
    <w:rsid w:val="00573EB1"/>
    <w:rsid w:val="0057431A"/>
    <w:rsid w:val="00574D7C"/>
    <w:rsid w:val="00575E47"/>
    <w:rsid w:val="00576B71"/>
    <w:rsid w:val="00577842"/>
    <w:rsid w:val="005803C3"/>
    <w:rsid w:val="005807B0"/>
    <w:rsid w:val="005833BC"/>
    <w:rsid w:val="0058389B"/>
    <w:rsid w:val="005839DB"/>
    <w:rsid w:val="00583ABA"/>
    <w:rsid w:val="00586C52"/>
    <w:rsid w:val="00591BBA"/>
    <w:rsid w:val="00592368"/>
    <w:rsid w:val="0059327F"/>
    <w:rsid w:val="0059348A"/>
    <w:rsid w:val="00596021"/>
    <w:rsid w:val="005964DB"/>
    <w:rsid w:val="005A0A90"/>
    <w:rsid w:val="005A1759"/>
    <w:rsid w:val="005A17FB"/>
    <w:rsid w:val="005A1AE0"/>
    <w:rsid w:val="005A2787"/>
    <w:rsid w:val="005A2888"/>
    <w:rsid w:val="005A43B9"/>
    <w:rsid w:val="005A5252"/>
    <w:rsid w:val="005A53DA"/>
    <w:rsid w:val="005A70E4"/>
    <w:rsid w:val="005A7F94"/>
    <w:rsid w:val="005B0DA2"/>
    <w:rsid w:val="005B1013"/>
    <w:rsid w:val="005B1042"/>
    <w:rsid w:val="005B15E8"/>
    <w:rsid w:val="005B3257"/>
    <w:rsid w:val="005B345A"/>
    <w:rsid w:val="005B42CA"/>
    <w:rsid w:val="005B50E4"/>
    <w:rsid w:val="005B52FC"/>
    <w:rsid w:val="005B6686"/>
    <w:rsid w:val="005B6FBE"/>
    <w:rsid w:val="005B7062"/>
    <w:rsid w:val="005C03AC"/>
    <w:rsid w:val="005C0A3A"/>
    <w:rsid w:val="005C1648"/>
    <w:rsid w:val="005C1A3C"/>
    <w:rsid w:val="005C1C5E"/>
    <w:rsid w:val="005C23B3"/>
    <w:rsid w:val="005C291D"/>
    <w:rsid w:val="005C33D5"/>
    <w:rsid w:val="005C36D5"/>
    <w:rsid w:val="005C3C3F"/>
    <w:rsid w:val="005C49BD"/>
    <w:rsid w:val="005C4C12"/>
    <w:rsid w:val="005C53CB"/>
    <w:rsid w:val="005C5CA4"/>
    <w:rsid w:val="005C5EB9"/>
    <w:rsid w:val="005C6290"/>
    <w:rsid w:val="005D2942"/>
    <w:rsid w:val="005D2E47"/>
    <w:rsid w:val="005D2F52"/>
    <w:rsid w:val="005D3511"/>
    <w:rsid w:val="005D484C"/>
    <w:rsid w:val="005D4A5A"/>
    <w:rsid w:val="005D5900"/>
    <w:rsid w:val="005D5E3F"/>
    <w:rsid w:val="005D66B2"/>
    <w:rsid w:val="005D6A84"/>
    <w:rsid w:val="005D7414"/>
    <w:rsid w:val="005D77B1"/>
    <w:rsid w:val="005D7C5D"/>
    <w:rsid w:val="005E13F9"/>
    <w:rsid w:val="005E195A"/>
    <w:rsid w:val="005E1EE0"/>
    <w:rsid w:val="005E2710"/>
    <w:rsid w:val="005E394B"/>
    <w:rsid w:val="005E4C20"/>
    <w:rsid w:val="005E510D"/>
    <w:rsid w:val="005E6175"/>
    <w:rsid w:val="005E6ECD"/>
    <w:rsid w:val="005F183F"/>
    <w:rsid w:val="005F2AD5"/>
    <w:rsid w:val="005F386F"/>
    <w:rsid w:val="005F3D8B"/>
    <w:rsid w:val="005F4F62"/>
    <w:rsid w:val="005F63E1"/>
    <w:rsid w:val="005F68B4"/>
    <w:rsid w:val="005F6CCF"/>
    <w:rsid w:val="00602346"/>
    <w:rsid w:val="00602A2D"/>
    <w:rsid w:val="00603799"/>
    <w:rsid w:val="0060561B"/>
    <w:rsid w:val="00605C57"/>
    <w:rsid w:val="00610733"/>
    <w:rsid w:val="00610B52"/>
    <w:rsid w:val="0061213E"/>
    <w:rsid w:val="00613017"/>
    <w:rsid w:val="006131A3"/>
    <w:rsid w:val="0061369C"/>
    <w:rsid w:val="006139F7"/>
    <w:rsid w:val="00614309"/>
    <w:rsid w:val="00617538"/>
    <w:rsid w:val="00621337"/>
    <w:rsid w:val="0062213D"/>
    <w:rsid w:val="00622B6D"/>
    <w:rsid w:val="00622CBA"/>
    <w:rsid w:val="00624AAE"/>
    <w:rsid w:val="0062770E"/>
    <w:rsid w:val="00627D38"/>
    <w:rsid w:val="00630344"/>
    <w:rsid w:val="006309BD"/>
    <w:rsid w:val="00630CEC"/>
    <w:rsid w:val="00632724"/>
    <w:rsid w:val="0063442B"/>
    <w:rsid w:val="006346F3"/>
    <w:rsid w:val="00634F4A"/>
    <w:rsid w:val="00634F9E"/>
    <w:rsid w:val="00634FF7"/>
    <w:rsid w:val="00635516"/>
    <w:rsid w:val="00635CA6"/>
    <w:rsid w:val="00636DAA"/>
    <w:rsid w:val="00637367"/>
    <w:rsid w:val="00637C3B"/>
    <w:rsid w:val="00640BE9"/>
    <w:rsid w:val="00640CD0"/>
    <w:rsid w:val="00641569"/>
    <w:rsid w:val="0064619B"/>
    <w:rsid w:val="00646B47"/>
    <w:rsid w:val="00647E4A"/>
    <w:rsid w:val="00650352"/>
    <w:rsid w:val="006512E5"/>
    <w:rsid w:val="00652156"/>
    <w:rsid w:val="00652346"/>
    <w:rsid w:val="00654140"/>
    <w:rsid w:val="00654955"/>
    <w:rsid w:val="00655428"/>
    <w:rsid w:val="006559B4"/>
    <w:rsid w:val="00656B29"/>
    <w:rsid w:val="00662201"/>
    <w:rsid w:val="006630A8"/>
    <w:rsid w:val="00663F6F"/>
    <w:rsid w:val="006650F0"/>
    <w:rsid w:val="00665186"/>
    <w:rsid w:val="00666797"/>
    <w:rsid w:val="00667021"/>
    <w:rsid w:val="00667B81"/>
    <w:rsid w:val="00671C19"/>
    <w:rsid w:val="006721F7"/>
    <w:rsid w:val="00674910"/>
    <w:rsid w:val="00674B85"/>
    <w:rsid w:val="00674C75"/>
    <w:rsid w:val="006772B4"/>
    <w:rsid w:val="0068070D"/>
    <w:rsid w:val="00680D77"/>
    <w:rsid w:val="00681522"/>
    <w:rsid w:val="00682AD3"/>
    <w:rsid w:val="00683865"/>
    <w:rsid w:val="00686ED6"/>
    <w:rsid w:val="00687FEE"/>
    <w:rsid w:val="006903DE"/>
    <w:rsid w:val="006926CC"/>
    <w:rsid w:val="00693713"/>
    <w:rsid w:val="00694B8B"/>
    <w:rsid w:val="00694F8B"/>
    <w:rsid w:val="00695F00"/>
    <w:rsid w:val="006973A6"/>
    <w:rsid w:val="00697A4A"/>
    <w:rsid w:val="006A05EE"/>
    <w:rsid w:val="006A085C"/>
    <w:rsid w:val="006A0CFB"/>
    <w:rsid w:val="006A1E4D"/>
    <w:rsid w:val="006A4D76"/>
    <w:rsid w:val="006A5200"/>
    <w:rsid w:val="006A5814"/>
    <w:rsid w:val="006A7266"/>
    <w:rsid w:val="006A7C00"/>
    <w:rsid w:val="006B0633"/>
    <w:rsid w:val="006B09DA"/>
    <w:rsid w:val="006B2FD3"/>
    <w:rsid w:val="006B39E8"/>
    <w:rsid w:val="006B3E6C"/>
    <w:rsid w:val="006B54D9"/>
    <w:rsid w:val="006B627B"/>
    <w:rsid w:val="006B6B97"/>
    <w:rsid w:val="006B75A2"/>
    <w:rsid w:val="006B7B38"/>
    <w:rsid w:val="006C0310"/>
    <w:rsid w:val="006C096C"/>
    <w:rsid w:val="006C110E"/>
    <w:rsid w:val="006C2DB3"/>
    <w:rsid w:val="006C2E3E"/>
    <w:rsid w:val="006C3736"/>
    <w:rsid w:val="006C4DDF"/>
    <w:rsid w:val="006C6930"/>
    <w:rsid w:val="006C6FD9"/>
    <w:rsid w:val="006D077F"/>
    <w:rsid w:val="006D1082"/>
    <w:rsid w:val="006D1354"/>
    <w:rsid w:val="006D1E61"/>
    <w:rsid w:val="006D288C"/>
    <w:rsid w:val="006D3F37"/>
    <w:rsid w:val="006D4861"/>
    <w:rsid w:val="006D4A90"/>
    <w:rsid w:val="006D4D67"/>
    <w:rsid w:val="006D5953"/>
    <w:rsid w:val="006D711F"/>
    <w:rsid w:val="006E0952"/>
    <w:rsid w:val="006E15C0"/>
    <w:rsid w:val="006E3509"/>
    <w:rsid w:val="006E3807"/>
    <w:rsid w:val="006E3DB5"/>
    <w:rsid w:val="006E4B63"/>
    <w:rsid w:val="006E4CE9"/>
    <w:rsid w:val="006E5BC9"/>
    <w:rsid w:val="006F20B4"/>
    <w:rsid w:val="006F2B3C"/>
    <w:rsid w:val="006F3414"/>
    <w:rsid w:val="006F355A"/>
    <w:rsid w:val="006F3A86"/>
    <w:rsid w:val="006F4199"/>
    <w:rsid w:val="006F4556"/>
    <w:rsid w:val="006F4F3F"/>
    <w:rsid w:val="006F5342"/>
    <w:rsid w:val="006F5630"/>
    <w:rsid w:val="006F5F26"/>
    <w:rsid w:val="006F7B33"/>
    <w:rsid w:val="006F7C93"/>
    <w:rsid w:val="0070028D"/>
    <w:rsid w:val="0070051F"/>
    <w:rsid w:val="0070170A"/>
    <w:rsid w:val="00701AEF"/>
    <w:rsid w:val="007041F8"/>
    <w:rsid w:val="007051F0"/>
    <w:rsid w:val="00705EBB"/>
    <w:rsid w:val="00705F2E"/>
    <w:rsid w:val="00710987"/>
    <w:rsid w:val="00710D7C"/>
    <w:rsid w:val="00710DAC"/>
    <w:rsid w:val="007110ED"/>
    <w:rsid w:val="007113C5"/>
    <w:rsid w:val="007116F8"/>
    <w:rsid w:val="00711B17"/>
    <w:rsid w:val="0071282E"/>
    <w:rsid w:val="00712B22"/>
    <w:rsid w:val="0071363F"/>
    <w:rsid w:val="0071473A"/>
    <w:rsid w:val="00721B91"/>
    <w:rsid w:val="00721C03"/>
    <w:rsid w:val="007224A1"/>
    <w:rsid w:val="00725AE2"/>
    <w:rsid w:val="00725EE5"/>
    <w:rsid w:val="007323EF"/>
    <w:rsid w:val="00732990"/>
    <w:rsid w:val="00733E20"/>
    <w:rsid w:val="007345BB"/>
    <w:rsid w:val="0073480A"/>
    <w:rsid w:val="00734DB2"/>
    <w:rsid w:val="00734E65"/>
    <w:rsid w:val="00734EF3"/>
    <w:rsid w:val="00735620"/>
    <w:rsid w:val="00736108"/>
    <w:rsid w:val="00737912"/>
    <w:rsid w:val="007407BB"/>
    <w:rsid w:val="00740AE0"/>
    <w:rsid w:val="007412CF"/>
    <w:rsid w:val="00744E02"/>
    <w:rsid w:val="00745F12"/>
    <w:rsid w:val="00746BA5"/>
    <w:rsid w:val="00747245"/>
    <w:rsid w:val="0075052A"/>
    <w:rsid w:val="00751B77"/>
    <w:rsid w:val="00752821"/>
    <w:rsid w:val="00754DD4"/>
    <w:rsid w:val="007551E2"/>
    <w:rsid w:val="00755DE5"/>
    <w:rsid w:val="00755E5C"/>
    <w:rsid w:val="00760BF4"/>
    <w:rsid w:val="0076115A"/>
    <w:rsid w:val="00762D57"/>
    <w:rsid w:val="007640E2"/>
    <w:rsid w:val="007646DC"/>
    <w:rsid w:val="007659E4"/>
    <w:rsid w:val="0077043B"/>
    <w:rsid w:val="0077227D"/>
    <w:rsid w:val="00773877"/>
    <w:rsid w:val="00774016"/>
    <w:rsid w:val="00774953"/>
    <w:rsid w:val="00774D5A"/>
    <w:rsid w:val="007755A2"/>
    <w:rsid w:val="007756B8"/>
    <w:rsid w:val="00776978"/>
    <w:rsid w:val="0077772B"/>
    <w:rsid w:val="0077781B"/>
    <w:rsid w:val="007841C9"/>
    <w:rsid w:val="007849C6"/>
    <w:rsid w:val="0078521C"/>
    <w:rsid w:val="00785653"/>
    <w:rsid w:val="00786AB2"/>
    <w:rsid w:val="00787028"/>
    <w:rsid w:val="007876F9"/>
    <w:rsid w:val="00791D57"/>
    <w:rsid w:val="00792F10"/>
    <w:rsid w:val="00793111"/>
    <w:rsid w:val="007935E4"/>
    <w:rsid w:val="00793A57"/>
    <w:rsid w:val="007943C1"/>
    <w:rsid w:val="007A0700"/>
    <w:rsid w:val="007A0CD1"/>
    <w:rsid w:val="007A124E"/>
    <w:rsid w:val="007A28F0"/>
    <w:rsid w:val="007A2EFB"/>
    <w:rsid w:val="007A2FE7"/>
    <w:rsid w:val="007A31FF"/>
    <w:rsid w:val="007A3892"/>
    <w:rsid w:val="007A474C"/>
    <w:rsid w:val="007A57D6"/>
    <w:rsid w:val="007A682C"/>
    <w:rsid w:val="007A7468"/>
    <w:rsid w:val="007A78EE"/>
    <w:rsid w:val="007B10DA"/>
    <w:rsid w:val="007B1A0D"/>
    <w:rsid w:val="007B1CB3"/>
    <w:rsid w:val="007B370A"/>
    <w:rsid w:val="007B425D"/>
    <w:rsid w:val="007B43AA"/>
    <w:rsid w:val="007B5597"/>
    <w:rsid w:val="007B56AD"/>
    <w:rsid w:val="007B5AFC"/>
    <w:rsid w:val="007B5E53"/>
    <w:rsid w:val="007B5F7C"/>
    <w:rsid w:val="007B7601"/>
    <w:rsid w:val="007C0379"/>
    <w:rsid w:val="007C1DA4"/>
    <w:rsid w:val="007C1EC8"/>
    <w:rsid w:val="007C21E8"/>
    <w:rsid w:val="007C262C"/>
    <w:rsid w:val="007C289E"/>
    <w:rsid w:val="007C29A8"/>
    <w:rsid w:val="007C30F6"/>
    <w:rsid w:val="007C39B1"/>
    <w:rsid w:val="007C4738"/>
    <w:rsid w:val="007C4F49"/>
    <w:rsid w:val="007C5078"/>
    <w:rsid w:val="007C60D2"/>
    <w:rsid w:val="007C6945"/>
    <w:rsid w:val="007C70BD"/>
    <w:rsid w:val="007C7A68"/>
    <w:rsid w:val="007D24B7"/>
    <w:rsid w:val="007D2F80"/>
    <w:rsid w:val="007D2FB3"/>
    <w:rsid w:val="007D468D"/>
    <w:rsid w:val="007E0A33"/>
    <w:rsid w:val="007E0B51"/>
    <w:rsid w:val="007E1CD2"/>
    <w:rsid w:val="007E1D11"/>
    <w:rsid w:val="007E3D57"/>
    <w:rsid w:val="007E48D2"/>
    <w:rsid w:val="007E5DA7"/>
    <w:rsid w:val="007E60EE"/>
    <w:rsid w:val="007E6310"/>
    <w:rsid w:val="007E7107"/>
    <w:rsid w:val="007E7A50"/>
    <w:rsid w:val="007E7C13"/>
    <w:rsid w:val="007E7EF1"/>
    <w:rsid w:val="007F04B9"/>
    <w:rsid w:val="007F0716"/>
    <w:rsid w:val="007F4B65"/>
    <w:rsid w:val="007F4D22"/>
    <w:rsid w:val="007F5900"/>
    <w:rsid w:val="007F5ECB"/>
    <w:rsid w:val="007F6C27"/>
    <w:rsid w:val="007F6D66"/>
    <w:rsid w:val="007F7D78"/>
    <w:rsid w:val="0080139C"/>
    <w:rsid w:val="00801D5A"/>
    <w:rsid w:val="00801D64"/>
    <w:rsid w:val="00803EEE"/>
    <w:rsid w:val="00804965"/>
    <w:rsid w:val="00804E20"/>
    <w:rsid w:val="0080582D"/>
    <w:rsid w:val="00805CC2"/>
    <w:rsid w:val="008060D2"/>
    <w:rsid w:val="0080616C"/>
    <w:rsid w:val="00811036"/>
    <w:rsid w:val="008114DE"/>
    <w:rsid w:val="00812B3E"/>
    <w:rsid w:val="00812DBC"/>
    <w:rsid w:val="00812FB5"/>
    <w:rsid w:val="008146B1"/>
    <w:rsid w:val="00815405"/>
    <w:rsid w:val="0081606E"/>
    <w:rsid w:val="00816849"/>
    <w:rsid w:val="00816EBD"/>
    <w:rsid w:val="00817469"/>
    <w:rsid w:val="00820434"/>
    <w:rsid w:val="00822604"/>
    <w:rsid w:val="008226A9"/>
    <w:rsid w:val="00823090"/>
    <w:rsid w:val="00824A2B"/>
    <w:rsid w:val="00825490"/>
    <w:rsid w:val="0082647C"/>
    <w:rsid w:val="008265E5"/>
    <w:rsid w:val="008307A2"/>
    <w:rsid w:val="008310E6"/>
    <w:rsid w:val="0083122A"/>
    <w:rsid w:val="00831B70"/>
    <w:rsid w:val="008332BB"/>
    <w:rsid w:val="00834741"/>
    <w:rsid w:val="0083478B"/>
    <w:rsid w:val="008364FD"/>
    <w:rsid w:val="00836B75"/>
    <w:rsid w:val="00841463"/>
    <w:rsid w:val="0084367C"/>
    <w:rsid w:val="008436FB"/>
    <w:rsid w:val="00843D3B"/>
    <w:rsid w:val="008441A4"/>
    <w:rsid w:val="00845C2C"/>
    <w:rsid w:val="00845D26"/>
    <w:rsid w:val="00850159"/>
    <w:rsid w:val="00850897"/>
    <w:rsid w:val="00850D58"/>
    <w:rsid w:val="00851813"/>
    <w:rsid w:val="00851DDF"/>
    <w:rsid w:val="008520E9"/>
    <w:rsid w:val="00852D08"/>
    <w:rsid w:val="0085305C"/>
    <w:rsid w:val="00853C65"/>
    <w:rsid w:val="00853CA0"/>
    <w:rsid w:val="00853FAC"/>
    <w:rsid w:val="00853FE7"/>
    <w:rsid w:val="008550EF"/>
    <w:rsid w:val="008555C4"/>
    <w:rsid w:val="0085695B"/>
    <w:rsid w:val="008612E1"/>
    <w:rsid w:val="0086144F"/>
    <w:rsid w:val="00861A38"/>
    <w:rsid w:val="00861F47"/>
    <w:rsid w:val="00864D27"/>
    <w:rsid w:val="00867115"/>
    <w:rsid w:val="0087169F"/>
    <w:rsid w:val="00874294"/>
    <w:rsid w:val="0087461D"/>
    <w:rsid w:val="00875DE6"/>
    <w:rsid w:val="008764B9"/>
    <w:rsid w:val="0088066A"/>
    <w:rsid w:val="008808C3"/>
    <w:rsid w:val="008815BF"/>
    <w:rsid w:val="008823B4"/>
    <w:rsid w:val="008839DC"/>
    <w:rsid w:val="00883ED7"/>
    <w:rsid w:val="0088406D"/>
    <w:rsid w:val="008847DE"/>
    <w:rsid w:val="008858B6"/>
    <w:rsid w:val="00885B2B"/>
    <w:rsid w:val="00890277"/>
    <w:rsid w:val="008914D8"/>
    <w:rsid w:val="00892ABF"/>
    <w:rsid w:val="00893B30"/>
    <w:rsid w:val="00893D6B"/>
    <w:rsid w:val="00894768"/>
    <w:rsid w:val="00895813"/>
    <w:rsid w:val="008958AE"/>
    <w:rsid w:val="00896AE4"/>
    <w:rsid w:val="00897D23"/>
    <w:rsid w:val="008A025F"/>
    <w:rsid w:val="008A18FC"/>
    <w:rsid w:val="008A201F"/>
    <w:rsid w:val="008A267C"/>
    <w:rsid w:val="008A31F1"/>
    <w:rsid w:val="008A3DB6"/>
    <w:rsid w:val="008A470C"/>
    <w:rsid w:val="008A4AF4"/>
    <w:rsid w:val="008A5BF7"/>
    <w:rsid w:val="008A5FD6"/>
    <w:rsid w:val="008A7673"/>
    <w:rsid w:val="008A793A"/>
    <w:rsid w:val="008A79CA"/>
    <w:rsid w:val="008A7E20"/>
    <w:rsid w:val="008B1D1A"/>
    <w:rsid w:val="008B2348"/>
    <w:rsid w:val="008B4A00"/>
    <w:rsid w:val="008B54DE"/>
    <w:rsid w:val="008B6F7F"/>
    <w:rsid w:val="008C0109"/>
    <w:rsid w:val="008C048F"/>
    <w:rsid w:val="008C0AD6"/>
    <w:rsid w:val="008C10FD"/>
    <w:rsid w:val="008C21E1"/>
    <w:rsid w:val="008C2D23"/>
    <w:rsid w:val="008C2DDF"/>
    <w:rsid w:val="008C2EE4"/>
    <w:rsid w:val="008C3500"/>
    <w:rsid w:val="008C35EA"/>
    <w:rsid w:val="008C4FF0"/>
    <w:rsid w:val="008C5294"/>
    <w:rsid w:val="008C5D3E"/>
    <w:rsid w:val="008C76C9"/>
    <w:rsid w:val="008D2D56"/>
    <w:rsid w:val="008D30F3"/>
    <w:rsid w:val="008D332E"/>
    <w:rsid w:val="008D3932"/>
    <w:rsid w:val="008D66CF"/>
    <w:rsid w:val="008D6B7E"/>
    <w:rsid w:val="008D6B96"/>
    <w:rsid w:val="008D72F6"/>
    <w:rsid w:val="008E0132"/>
    <w:rsid w:val="008E1EA9"/>
    <w:rsid w:val="008E34D8"/>
    <w:rsid w:val="008E4E09"/>
    <w:rsid w:val="008E786D"/>
    <w:rsid w:val="008F05DE"/>
    <w:rsid w:val="008F080F"/>
    <w:rsid w:val="008F1430"/>
    <w:rsid w:val="008F33E9"/>
    <w:rsid w:val="008F428F"/>
    <w:rsid w:val="008F4B64"/>
    <w:rsid w:val="008F5755"/>
    <w:rsid w:val="008F57CD"/>
    <w:rsid w:val="008F794E"/>
    <w:rsid w:val="00901122"/>
    <w:rsid w:val="00901F8B"/>
    <w:rsid w:val="00902A51"/>
    <w:rsid w:val="009045AD"/>
    <w:rsid w:val="00905049"/>
    <w:rsid w:val="00905F24"/>
    <w:rsid w:val="0090728E"/>
    <w:rsid w:val="009078CD"/>
    <w:rsid w:val="009104AA"/>
    <w:rsid w:val="00911DF4"/>
    <w:rsid w:val="00911FC1"/>
    <w:rsid w:val="009130C2"/>
    <w:rsid w:val="00913FDB"/>
    <w:rsid w:val="0091427A"/>
    <w:rsid w:val="009145BA"/>
    <w:rsid w:val="00914641"/>
    <w:rsid w:val="009147D7"/>
    <w:rsid w:val="0091621F"/>
    <w:rsid w:val="00917A89"/>
    <w:rsid w:val="009238DD"/>
    <w:rsid w:val="00923CFE"/>
    <w:rsid w:val="00924401"/>
    <w:rsid w:val="0092475E"/>
    <w:rsid w:val="0092711A"/>
    <w:rsid w:val="00927B7B"/>
    <w:rsid w:val="00927D17"/>
    <w:rsid w:val="00930C4C"/>
    <w:rsid w:val="0093176E"/>
    <w:rsid w:val="0093192F"/>
    <w:rsid w:val="009324A2"/>
    <w:rsid w:val="009324DE"/>
    <w:rsid w:val="00933CEA"/>
    <w:rsid w:val="0093528D"/>
    <w:rsid w:val="009353B9"/>
    <w:rsid w:val="00940892"/>
    <w:rsid w:val="00940A24"/>
    <w:rsid w:val="00940AB5"/>
    <w:rsid w:val="00941075"/>
    <w:rsid w:val="009412CE"/>
    <w:rsid w:val="00942D95"/>
    <w:rsid w:val="009457FC"/>
    <w:rsid w:val="00950931"/>
    <w:rsid w:val="00951430"/>
    <w:rsid w:val="00951622"/>
    <w:rsid w:val="009523E4"/>
    <w:rsid w:val="009533F1"/>
    <w:rsid w:val="00953A65"/>
    <w:rsid w:val="009544AB"/>
    <w:rsid w:val="00954EB5"/>
    <w:rsid w:val="009567F8"/>
    <w:rsid w:val="00956F0B"/>
    <w:rsid w:val="00960291"/>
    <w:rsid w:val="009607CE"/>
    <w:rsid w:val="009608B4"/>
    <w:rsid w:val="00960F33"/>
    <w:rsid w:val="00961EAF"/>
    <w:rsid w:val="00962D4E"/>
    <w:rsid w:val="009651B2"/>
    <w:rsid w:val="00965701"/>
    <w:rsid w:val="0096612C"/>
    <w:rsid w:val="009664C1"/>
    <w:rsid w:val="00966B26"/>
    <w:rsid w:val="009710A2"/>
    <w:rsid w:val="00971A66"/>
    <w:rsid w:val="00971B0C"/>
    <w:rsid w:val="00972133"/>
    <w:rsid w:val="00973D7F"/>
    <w:rsid w:val="00973ECE"/>
    <w:rsid w:val="00974BDB"/>
    <w:rsid w:val="00975CC2"/>
    <w:rsid w:val="00977248"/>
    <w:rsid w:val="009772B1"/>
    <w:rsid w:val="0097755A"/>
    <w:rsid w:val="0097757A"/>
    <w:rsid w:val="00981765"/>
    <w:rsid w:val="00982EAC"/>
    <w:rsid w:val="00983E0A"/>
    <w:rsid w:val="00985ED7"/>
    <w:rsid w:val="009864BC"/>
    <w:rsid w:val="0099004F"/>
    <w:rsid w:val="00990165"/>
    <w:rsid w:val="00991061"/>
    <w:rsid w:val="009911FB"/>
    <w:rsid w:val="009915D4"/>
    <w:rsid w:val="00992136"/>
    <w:rsid w:val="009925C4"/>
    <w:rsid w:val="009928B3"/>
    <w:rsid w:val="00992ECD"/>
    <w:rsid w:val="009932E9"/>
    <w:rsid w:val="009937A1"/>
    <w:rsid w:val="009953D4"/>
    <w:rsid w:val="00997217"/>
    <w:rsid w:val="009977CD"/>
    <w:rsid w:val="00997EBA"/>
    <w:rsid w:val="009A000A"/>
    <w:rsid w:val="009A1094"/>
    <w:rsid w:val="009A13D8"/>
    <w:rsid w:val="009A2768"/>
    <w:rsid w:val="009A2B07"/>
    <w:rsid w:val="009A31E8"/>
    <w:rsid w:val="009A372F"/>
    <w:rsid w:val="009A42CC"/>
    <w:rsid w:val="009A5CC8"/>
    <w:rsid w:val="009A6276"/>
    <w:rsid w:val="009A652C"/>
    <w:rsid w:val="009A660D"/>
    <w:rsid w:val="009A711B"/>
    <w:rsid w:val="009B02B8"/>
    <w:rsid w:val="009B0676"/>
    <w:rsid w:val="009B121E"/>
    <w:rsid w:val="009B1E59"/>
    <w:rsid w:val="009B1ECF"/>
    <w:rsid w:val="009B24DC"/>
    <w:rsid w:val="009B38EB"/>
    <w:rsid w:val="009B5162"/>
    <w:rsid w:val="009B59F5"/>
    <w:rsid w:val="009B662E"/>
    <w:rsid w:val="009C088E"/>
    <w:rsid w:val="009C0CB3"/>
    <w:rsid w:val="009C1501"/>
    <w:rsid w:val="009C21F4"/>
    <w:rsid w:val="009C2A76"/>
    <w:rsid w:val="009C345F"/>
    <w:rsid w:val="009C540D"/>
    <w:rsid w:val="009C5958"/>
    <w:rsid w:val="009C5E2C"/>
    <w:rsid w:val="009C65B2"/>
    <w:rsid w:val="009D0643"/>
    <w:rsid w:val="009D121E"/>
    <w:rsid w:val="009D19DA"/>
    <w:rsid w:val="009D1E43"/>
    <w:rsid w:val="009D21BC"/>
    <w:rsid w:val="009D29DE"/>
    <w:rsid w:val="009D2A00"/>
    <w:rsid w:val="009D3F74"/>
    <w:rsid w:val="009D5264"/>
    <w:rsid w:val="009D557D"/>
    <w:rsid w:val="009D6192"/>
    <w:rsid w:val="009D67EF"/>
    <w:rsid w:val="009D703B"/>
    <w:rsid w:val="009E0C2E"/>
    <w:rsid w:val="009E1A8E"/>
    <w:rsid w:val="009E2A66"/>
    <w:rsid w:val="009E2EC1"/>
    <w:rsid w:val="009E4148"/>
    <w:rsid w:val="009E415F"/>
    <w:rsid w:val="009E41E1"/>
    <w:rsid w:val="009E4D8F"/>
    <w:rsid w:val="009E79A8"/>
    <w:rsid w:val="009E7E00"/>
    <w:rsid w:val="009F0F39"/>
    <w:rsid w:val="009F1CC0"/>
    <w:rsid w:val="009F288E"/>
    <w:rsid w:val="009F2C3A"/>
    <w:rsid w:val="009F3345"/>
    <w:rsid w:val="009F5D2E"/>
    <w:rsid w:val="009F63CF"/>
    <w:rsid w:val="009F7132"/>
    <w:rsid w:val="009F743A"/>
    <w:rsid w:val="009F7FAD"/>
    <w:rsid w:val="00A00875"/>
    <w:rsid w:val="00A02A66"/>
    <w:rsid w:val="00A02E83"/>
    <w:rsid w:val="00A0481C"/>
    <w:rsid w:val="00A04A11"/>
    <w:rsid w:val="00A04B47"/>
    <w:rsid w:val="00A04D81"/>
    <w:rsid w:val="00A0620F"/>
    <w:rsid w:val="00A07335"/>
    <w:rsid w:val="00A07D5E"/>
    <w:rsid w:val="00A10D0F"/>
    <w:rsid w:val="00A118BB"/>
    <w:rsid w:val="00A11A47"/>
    <w:rsid w:val="00A11C92"/>
    <w:rsid w:val="00A140BC"/>
    <w:rsid w:val="00A141A2"/>
    <w:rsid w:val="00A14566"/>
    <w:rsid w:val="00A16518"/>
    <w:rsid w:val="00A167F0"/>
    <w:rsid w:val="00A16C63"/>
    <w:rsid w:val="00A173F3"/>
    <w:rsid w:val="00A175AF"/>
    <w:rsid w:val="00A175C9"/>
    <w:rsid w:val="00A2184C"/>
    <w:rsid w:val="00A22968"/>
    <w:rsid w:val="00A23482"/>
    <w:rsid w:val="00A238EB"/>
    <w:rsid w:val="00A254C3"/>
    <w:rsid w:val="00A259B5"/>
    <w:rsid w:val="00A25B28"/>
    <w:rsid w:val="00A26C8B"/>
    <w:rsid w:val="00A30729"/>
    <w:rsid w:val="00A33C5D"/>
    <w:rsid w:val="00A34247"/>
    <w:rsid w:val="00A35A76"/>
    <w:rsid w:val="00A35AAC"/>
    <w:rsid w:val="00A36056"/>
    <w:rsid w:val="00A36A32"/>
    <w:rsid w:val="00A36F80"/>
    <w:rsid w:val="00A37195"/>
    <w:rsid w:val="00A40933"/>
    <w:rsid w:val="00A40FB6"/>
    <w:rsid w:val="00A41BDD"/>
    <w:rsid w:val="00A42053"/>
    <w:rsid w:val="00A42F43"/>
    <w:rsid w:val="00A43A26"/>
    <w:rsid w:val="00A43A74"/>
    <w:rsid w:val="00A4458C"/>
    <w:rsid w:val="00A44800"/>
    <w:rsid w:val="00A44A79"/>
    <w:rsid w:val="00A450CA"/>
    <w:rsid w:val="00A454EC"/>
    <w:rsid w:val="00A46972"/>
    <w:rsid w:val="00A475E5"/>
    <w:rsid w:val="00A47ED7"/>
    <w:rsid w:val="00A50D99"/>
    <w:rsid w:val="00A51595"/>
    <w:rsid w:val="00A5300C"/>
    <w:rsid w:val="00A54016"/>
    <w:rsid w:val="00A54395"/>
    <w:rsid w:val="00A54BEA"/>
    <w:rsid w:val="00A5678A"/>
    <w:rsid w:val="00A57097"/>
    <w:rsid w:val="00A576D4"/>
    <w:rsid w:val="00A60797"/>
    <w:rsid w:val="00A61BA9"/>
    <w:rsid w:val="00A64AAB"/>
    <w:rsid w:val="00A668D3"/>
    <w:rsid w:val="00A670E7"/>
    <w:rsid w:val="00A6757B"/>
    <w:rsid w:val="00A67D76"/>
    <w:rsid w:val="00A72A3C"/>
    <w:rsid w:val="00A736D4"/>
    <w:rsid w:val="00A8072D"/>
    <w:rsid w:val="00A80998"/>
    <w:rsid w:val="00A8107F"/>
    <w:rsid w:val="00A815BF"/>
    <w:rsid w:val="00A816AC"/>
    <w:rsid w:val="00A81F47"/>
    <w:rsid w:val="00A8240B"/>
    <w:rsid w:val="00A82851"/>
    <w:rsid w:val="00A82D6E"/>
    <w:rsid w:val="00A82FC8"/>
    <w:rsid w:val="00A8306F"/>
    <w:rsid w:val="00A83112"/>
    <w:rsid w:val="00A83CBD"/>
    <w:rsid w:val="00A84124"/>
    <w:rsid w:val="00A84257"/>
    <w:rsid w:val="00A85CDC"/>
    <w:rsid w:val="00A86646"/>
    <w:rsid w:val="00A87C26"/>
    <w:rsid w:val="00A87CAF"/>
    <w:rsid w:val="00A87E7D"/>
    <w:rsid w:val="00A91591"/>
    <w:rsid w:val="00A92820"/>
    <w:rsid w:val="00A93CC4"/>
    <w:rsid w:val="00A945B5"/>
    <w:rsid w:val="00A96C73"/>
    <w:rsid w:val="00A96D1A"/>
    <w:rsid w:val="00A97BC9"/>
    <w:rsid w:val="00AA243C"/>
    <w:rsid w:val="00AA25A9"/>
    <w:rsid w:val="00AA30E7"/>
    <w:rsid w:val="00AA3A46"/>
    <w:rsid w:val="00AA495A"/>
    <w:rsid w:val="00AA4BD0"/>
    <w:rsid w:val="00AA5A94"/>
    <w:rsid w:val="00AA5D21"/>
    <w:rsid w:val="00AA6BED"/>
    <w:rsid w:val="00AA6C49"/>
    <w:rsid w:val="00AA73FC"/>
    <w:rsid w:val="00AA79E9"/>
    <w:rsid w:val="00AB0384"/>
    <w:rsid w:val="00AB1800"/>
    <w:rsid w:val="00AB1D45"/>
    <w:rsid w:val="00AB2354"/>
    <w:rsid w:val="00AB387D"/>
    <w:rsid w:val="00AB5DAA"/>
    <w:rsid w:val="00AB609B"/>
    <w:rsid w:val="00AB77E6"/>
    <w:rsid w:val="00AC0290"/>
    <w:rsid w:val="00AC0CFD"/>
    <w:rsid w:val="00AC4114"/>
    <w:rsid w:val="00AC50FB"/>
    <w:rsid w:val="00AC5CEA"/>
    <w:rsid w:val="00AC652E"/>
    <w:rsid w:val="00AC67C7"/>
    <w:rsid w:val="00AC7349"/>
    <w:rsid w:val="00AC7E78"/>
    <w:rsid w:val="00AD03AF"/>
    <w:rsid w:val="00AD0ED4"/>
    <w:rsid w:val="00AD163A"/>
    <w:rsid w:val="00AD404E"/>
    <w:rsid w:val="00AD4099"/>
    <w:rsid w:val="00AD4AD4"/>
    <w:rsid w:val="00AD4F5C"/>
    <w:rsid w:val="00AD67DD"/>
    <w:rsid w:val="00AD7EA9"/>
    <w:rsid w:val="00AE0E3C"/>
    <w:rsid w:val="00AE4D85"/>
    <w:rsid w:val="00AE5823"/>
    <w:rsid w:val="00AE6910"/>
    <w:rsid w:val="00AE73FD"/>
    <w:rsid w:val="00AE7E2D"/>
    <w:rsid w:val="00AF052F"/>
    <w:rsid w:val="00AF1CDE"/>
    <w:rsid w:val="00AF2578"/>
    <w:rsid w:val="00AF3378"/>
    <w:rsid w:val="00AF3C00"/>
    <w:rsid w:val="00AF4306"/>
    <w:rsid w:val="00AF4DF1"/>
    <w:rsid w:val="00AF51A5"/>
    <w:rsid w:val="00AF5357"/>
    <w:rsid w:val="00AF58FB"/>
    <w:rsid w:val="00AF675A"/>
    <w:rsid w:val="00B011D3"/>
    <w:rsid w:val="00B01A44"/>
    <w:rsid w:val="00B02054"/>
    <w:rsid w:val="00B02071"/>
    <w:rsid w:val="00B0218B"/>
    <w:rsid w:val="00B0339D"/>
    <w:rsid w:val="00B03504"/>
    <w:rsid w:val="00B03C69"/>
    <w:rsid w:val="00B0562C"/>
    <w:rsid w:val="00B06276"/>
    <w:rsid w:val="00B07B31"/>
    <w:rsid w:val="00B10066"/>
    <w:rsid w:val="00B1064F"/>
    <w:rsid w:val="00B10CA3"/>
    <w:rsid w:val="00B1100F"/>
    <w:rsid w:val="00B11F68"/>
    <w:rsid w:val="00B133E8"/>
    <w:rsid w:val="00B13A40"/>
    <w:rsid w:val="00B13AA6"/>
    <w:rsid w:val="00B14226"/>
    <w:rsid w:val="00B14A45"/>
    <w:rsid w:val="00B14E7B"/>
    <w:rsid w:val="00B16DFF"/>
    <w:rsid w:val="00B1799F"/>
    <w:rsid w:val="00B20899"/>
    <w:rsid w:val="00B22E00"/>
    <w:rsid w:val="00B26D02"/>
    <w:rsid w:val="00B27756"/>
    <w:rsid w:val="00B321F2"/>
    <w:rsid w:val="00B34CA4"/>
    <w:rsid w:val="00B34D0B"/>
    <w:rsid w:val="00B35A3E"/>
    <w:rsid w:val="00B3606D"/>
    <w:rsid w:val="00B3609B"/>
    <w:rsid w:val="00B365FD"/>
    <w:rsid w:val="00B366FA"/>
    <w:rsid w:val="00B37326"/>
    <w:rsid w:val="00B37477"/>
    <w:rsid w:val="00B375C7"/>
    <w:rsid w:val="00B4011D"/>
    <w:rsid w:val="00B40C54"/>
    <w:rsid w:val="00B4260F"/>
    <w:rsid w:val="00B42F9E"/>
    <w:rsid w:val="00B43FA4"/>
    <w:rsid w:val="00B4458D"/>
    <w:rsid w:val="00B44741"/>
    <w:rsid w:val="00B448B7"/>
    <w:rsid w:val="00B4581D"/>
    <w:rsid w:val="00B463AE"/>
    <w:rsid w:val="00B47D2B"/>
    <w:rsid w:val="00B50758"/>
    <w:rsid w:val="00B50C05"/>
    <w:rsid w:val="00B52119"/>
    <w:rsid w:val="00B52349"/>
    <w:rsid w:val="00B52BD3"/>
    <w:rsid w:val="00B544CA"/>
    <w:rsid w:val="00B549CA"/>
    <w:rsid w:val="00B54BFE"/>
    <w:rsid w:val="00B54C96"/>
    <w:rsid w:val="00B55053"/>
    <w:rsid w:val="00B5555A"/>
    <w:rsid w:val="00B613B8"/>
    <w:rsid w:val="00B6489D"/>
    <w:rsid w:val="00B64A06"/>
    <w:rsid w:val="00B6522E"/>
    <w:rsid w:val="00B678AD"/>
    <w:rsid w:val="00B67A6C"/>
    <w:rsid w:val="00B67C00"/>
    <w:rsid w:val="00B67FA0"/>
    <w:rsid w:val="00B70571"/>
    <w:rsid w:val="00B7069B"/>
    <w:rsid w:val="00B71573"/>
    <w:rsid w:val="00B724EC"/>
    <w:rsid w:val="00B73177"/>
    <w:rsid w:val="00B74A2D"/>
    <w:rsid w:val="00B75B68"/>
    <w:rsid w:val="00B76A79"/>
    <w:rsid w:val="00B813AB"/>
    <w:rsid w:val="00B8154C"/>
    <w:rsid w:val="00B81C92"/>
    <w:rsid w:val="00B82264"/>
    <w:rsid w:val="00B83518"/>
    <w:rsid w:val="00B83F19"/>
    <w:rsid w:val="00B842F0"/>
    <w:rsid w:val="00B865CE"/>
    <w:rsid w:val="00B8726A"/>
    <w:rsid w:val="00B8732D"/>
    <w:rsid w:val="00B87ED4"/>
    <w:rsid w:val="00B90BA9"/>
    <w:rsid w:val="00B934FF"/>
    <w:rsid w:val="00B93E56"/>
    <w:rsid w:val="00B9578F"/>
    <w:rsid w:val="00B96DEA"/>
    <w:rsid w:val="00B97AF1"/>
    <w:rsid w:val="00B97BEF"/>
    <w:rsid w:val="00BA0788"/>
    <w:rsid w:val="00BA1784"/>
    <w:rsid w:val="00BA180D"/>
    <w:rsid w:val="00BA2065"/>
    <w:rsid w:val="00BA2C3F"/>
    <w:rsid w:val="00BA3FBF"/>
    <w:rsid w:val="00BA43AB"/>
    <w:rsid w:val="00BA4532"/>
    <w:rsid w:val="00BA4F87"/>
    <w:rsid w:val="00BA7235"/>
    <w:rsid w:val="00BA7B3C"/>
    <w:rsid w:val="00BA7E76"/>
    <w:rsid w:val="00BB2029"/>
    <w:rsid w:val="00BB2EC8"/>
    <w:rsid w:val="00BB5229"/>
    <w:rsid w:val="00BB6357"/>
    <w:rsid w:val="00BB6851"/>
    <w:rsid w:val="00BB6AF2"/>
    <w:rsid w:val="00BB7555"/>
    <w:rsid w:val="00BC09FD"/>
    <w:rsid w:val="00BC10DA"/>
    <w:rsid w:val="00BC123E"/>
    <w:rsid w:val="00BC13C5"/>
    <w:rsid w:val="00BC2066"/>
    <w:rsid w:val="00BC3633"/>
    <w:rsid w:val="00BC43B8"/>
    <w:rsid w:val="00BC5DB6"/>
    <w:rsid w:val="00BC757D"/>
    <w:rsid w:val="00BC7DB2"/>
    <w:rsid w:val="00BD03A7"/>
    <w:rsid w:val="00BD288C"/>
    <w:rsid w:val="00BD32EA"/>
    <w:rsid w:val="00BD34AC"/>
    <w:rsid w:val="00BD3792"/>
    <w:rsid w:val="00BD5F06"/>
    <w:rsid w:val="00BD6BA2"/>
    <w:rsid w:val="00BD724D"/>
    <w:rsid w:val="00BD79EF"/>
    <w:rsid w:val="00BD7CAF"/>
    <w:rsid w:val="00BE0782"/>
    <w:rsid w:val="00BE0F29"/>
    <w:rsid w:val="00BE10EE"/>
    <w:rsid w:val="00BE2362"/>
    <w:rsid w:val="00BE24F7"/>
    <w:rsid w:val="00BE2BB2"/>
    <w:rsid w:val="00BE2E72"/>
    <w:rsid w:val="00BE363A"/>
    <w:rsid w:val="00BE4D08"/>
    <w:rsid w:val="00BE6070"/>
    <w:rsid w:val="00BF0A60"/>
    <w:rsid w:val="00BF22DB"/>
    <w:rsid w:val="00BF2C08"/>
    <w:rsid w:val="00BF3851"/>
    <w:rsid w:val="00BF43AB"/>
    <w:rsid w:val="00BF4B40"/>
    <w:rsid w:val="00BF6712"/>
    <w:rsid w:val="00BF6799"/>
    <w:rsid w:val="00BF6C36"/>
    <w:rsid w:val="00BF7666"/>
    <w:rsid w:val="00BF797E"/>
    <w:rsid w:val="00C00B4A"/>
    <w:rsid w:val="00C01E41"/>
    <w:rsid w:val="00C027FF"/>
    <w:rsid w:val="00C02B8A"/>
    <w:rsid w:val="00C0602B"/>
    <w:rsid w:val="00C06C22"/>
    <w:rsid w:val="00C07EA8"/>
    <w:rsid w:val="00C11641"/>
    <w:rsid w:val="00C118D3"/>
    <w:rsid w:val="00C13147"/>
    <w:rsid w:val="00C13371"/>
    <w:rsid w:val="00C14559"/>
    <w:rsid w:val="00C14F6C"/>
    <w:rsid w:val="00C15240"/>
    <w:rsid w:val="00C17FC0"/>
    <w:rsid w:val="00C21737"/>
    <w:rsid w:val="00C22205"/>
    <w:rsid w:val="00C224D9"/>
    <w:rsid w:val="00C25FCC"/>
    <w:rsid w:val="00C267B9"/>
    <w:rsid w:val="00C27B7F"/>
    <w:rsid w:val="00C27CA5"/>
    <w:rsid w:val="00C307CF"/>
    <w:rsid w:val="00C317DC"/>
    <w:rsid w:val="00C31B4D"/>
    <w:rsid w:val="00C34EA8"/>
    <w:rsid w:val="00C35BE0"/>
    <w:rsid w:val="00C37D0B"/>
    <w:rsid w:val="00C40170"/>
    <w:rsid w:val="00C4230E"/>
    <w:rsid w:val="00C42707"/>
    <w:rsid w:val="00C43BDF"/>
    <w:rsid w:val="00C44820"/>
    <w:rsid w:val="00C45510"/>
    <w:rsid w:val="00C4585C"/>
    <w:rsid w:val="00C462C9"/>
    <w:rsid w:val="00C46703"/>
    <w:rsid w:val="00C467A9"/>
    <w:rsid w:val="00C47472"/>
    <w:rsid w:val="00C50134"/>
    <w:rsid w:val="00C501E9"/>
    <w:rsid w:val="00C51185"/>
    <w:rsid w:val="00C5356B"/>
    <w:rsid w:val="00C53903"/>
    <w:rsid w:val="00C549BD"/>
    <w:rsid w:val="00C55ADF"/>
    <w:rsid w:val="00C56E93"/>
    <w:rsid w:val="00C5709C"/>
    <w:rsid w:val="00C578A5"/>
    <w:rsid w:val="00C60374"/>
    <w:rsid w:val="00C6045B"/>
    <w:rsid w:val="00C60ACF"/>
    <w:rsid w:val="00C61923"/>
    <w:rsid w:val="00C619EE"/>
    <w:rsid w:val="00C6312F"/>
    <w:rsid w:val="00C65585"/>
    <w:rsid w:val="00C661AC"/>
    <w:rsid w:val="00C668FF"/>
    <w:rsid w:val="00C67CA9"/>
    <w:rsid w:val="00C705BE"/>
    <w:rsid w:val="00C712CC"/>
    <w:rsid w:val="00C72B42"/>
    <w:rsid w:val="00C72EF4"/>
    <w:rsid w:val="00C73340"/>
    <w:rsid w:val="00C73390"/>
    <w:rsid w:val="00C7366E"/>
    <w:rsid w:val="00C73C01"/>
    <w:rsid w:val="00C74C15"/>
    <w:rsid w:val="00C74CBF"/>
    <w:rsid w:val="00C768A2"/>
    <w:rsid w:val="00C778D3"/>
    <w:rsid w:val="00C77B22"/>
    <w:rsid w:val="00C80A85"/>
    <w:rsid w:val="00C81E0D"/>
    <w:rsid w:val="00C822FA"/>
    <w:rsid w:val="00C846FD"/>
    <w:rsid w:val="00C8556D"/>
    <w:rsid w:val="00C86517"/>
    <w:rsid w:val="00C868E3"/>
    <w:rsid w:val="00C86E9C"/>
    <w:rsid w:val="00C87AE3"/>
    <w:rsid w:val="00C918EE"/>
    <w:rsid w:val="00C91A11"/>
    <w:rsid w:val="00C91E22"/>
    <w:rsid w:val="00C92187"/>
    <w:rsid w:val="00C92195"/>
    <w:rsid w:val="00C92B85"/>
    <w:rsid w:val="00C93537"/>
    <w:rsid w:val="00C93981"/>
    <w:rsid w:val="00C93AA9"/>
    <w:rsid w:val="00C95C61"/>
    <w:rsid w:val="00C95C91"/>
    <w:rsid w:val="00C964B0"/>
    <w:rsid w:val="00C966FD"/>
    <w:rsid w:val="00C972BB"/>
    <w:rsid w:val="00CA16DE"/>
    <w:rsid w:val="00CA1B45"/>
    <w:rsid w:val="00CA4AEE"/>
    <w:rsid w:val="00CA5486"/>
    <w:rsid w:val="00CA5728"/>
    <w:rsid w:val="00CA5E60"/>
    <w:rsid w:val="00CA6DC5"/>
    <w:rsid w:val="00CA74D9"/>
    <w:rsid w:val="00CB04D1"/>
    <w:rsid w:val="00CB056C"/>
    <w:rsid w:val="00CB06AC"/>
    <w:rsid w:val="00CB1532"/>
    <w:rsid w:val="00CB18DD"/>
    <w:rsid w:val="00CB29F5"/>
    <w:rsid w:val="00CB31CD"/>
    <w:rsid w:val="00CB467B"/>
    <w:rsid w:val="00CB4F03"/>
    <w:rsid w:val="00CB5642"/>
    <w:rsid w:val="00CB67B1"/>
    <w:rsid w:val="00CC095E"/>
    <w:rsid w:val="00CC0CAB"/>
    <w:rsid w:val="00CC129C"/>
    <w:rsid w:val="00CC1A85"/>
    <w:rsid w:val="00CC2370"/>
    <w:rsid w:val="00CC2ACF"/>
    <w:rsid w:val="00CC2E3F"/>
    <w:rsid w:val="00CC326F"/>
    <w:rsid w:val="00CC4248"/>
    <w:rsid w:val="00CC6219"/>
    <w:rsid w:val="00CC76B4"/>
    <w:rsid w:val="00CD04DC"/>
    <w:rsid w:val="00CD0832"/>
    <w:rsid w:val="00CD17A1"/>
    <w:rsid w:val="00CD614C"/>
    <w:rsid w:val="00CD6D40"/>
    <w:rsid w:val="00CD7D4C"/>
    <w:rsid w:val="00CE181E"/>
    <w:rsid w:val="00CE3275"/>
    <w:rsid w:val="00CE3278"/>
    <w:rsid w:val="00CE3D1F"/>
    <w:rsid w:val="00CE44B9"/>
    <w:rsid w:val="00CE4C0C"/>
    <w:rsid w:val="00CE52FF"/>
    <w:rsid w:val="00CF11AB"/>
    <w:rsid w:val="00CF139A"/>
    <w:rsid w:val="00CF1C5D"/>
    <w:rsid w:val="00CF26A4"/>
    <w:rsid w:val="00CF2B50"/>
    <w:rsid w:val="00CF3A47"/>
    <w:rsid w:val="00CF3C85"/>
    <w:rsid w:val="00CF418C"/>
    <w:rsid w:val="00CF425A"/>
    <w:rsid w:val="00CF650A"/>
    <w:rsid w:val="00CF7DFE"/>
    <w:rsid w:val="00D00251"/>
    <w:rsid w:val="00D00A6D"/>
    <w:rsid w:val="00D02CBB"/>
    <w:rsid w:val="00D03245"/>
    <w:rsid w:val="00D04187"/>
    <w:rsid w:val="00D049A2"/>
    <w:rsid w:val="00D04CCC"/>
    <w:rsid w:val="00D05A9E"/>
    <w:rsid w:val="00D074F7"/>
    <w:rsid w:val="00D0781F"/>
    <w:rsid w:val="00D07A27"/>
    <w:rsid w:val="00D07F7E"/>
    <w:rsid w:val="00D117DC"/>
    <w:rsid w:val="00D11923"/>
    <w:rsid w:val="00D11AD6"/>
    <w:rsid w:val="00D126C8"/>
    <w:rsid w:val="00D127AB"/>
    <w:rsid w:val="00D1318F"/>
    <w:rsid w:val="00D13EE1"/>
    <w:rsid w:val="00D14CB3"/>
    <w:rsid w:val="00D153F5"/>
    <w:rsid w:val="00D1573D"/>
    <w:rsid w:val="00D175AB"/>
    <w:rsid w:val="00D201FD"/>
    <w:rsid w:val="00D20453"/>
    <w:rsid w:val="00D205F5"/>
    <w:rsid w:val="00D221A2"/>
    <w:rsid w:val="00D229D1"/>
    <w:rsid w:val="00D22B45"/>
    <w:rsid w:val="00D232AF"/>
    <w:rsid w:val="00D2390A"/>
    <w:rsid w:val="00D2498E"/>
    <w:rsid w:val="00D267FC"/>
    <w:rsid w:val="00D27428"/>
    <w:rsid w:val="00D276B9"/>
    <w:rsid w:val="00D302C8"/>
    <w:rsid w:val="00D31A20"/>
    <w:rsid w:val="00D31EA5"/>
    <w:rsid w:val="00D333F8"/>
    <w:rsid w:val="00D33638"/>
    <w:rsid w:val="00D33B6C"/>
    <w:rsid w:val="00D3406F"/>
    <w:rsid w:val="00D3491C"/>
    <w:rsid w:val="00D35874"/>
    <w:rsid w:val="00D37970"/>
    <w:rsid w:val="00D37DB9"/>
    <w:rsid w:val="00D40E5E"/>
    <w:rsid w:val="00D413F9"/>
    <w:rsid w:val="00D41C31"/>
    <w:rsid w:val="00D4204C"/>
    <w:rsid w:val="00D42DB0"/>
    <w:rsid w:val="00D47FC6"/>
    <w:rsid w:val="00D52100"/>
    <w:rsid w:val="00D5267C"/>
    <w:rsid w:val="00D5387D"/>
    <w:rsid w:val="00D53C81"/>
    <w:rsid w:val="00D549B1"/>
    <w:rsid w:val="00D56180"/>
    <w:rsid w:val="00D6005D"/>
    <w:rsid w:val="00D60FE1"/>
    <w:rsid w:val="00D60FE2"/>
    <w:rsid w:val="00D620BE"/>
    <w:rsid w:val="00D62632"/>
    <w:rsid w:val="00D62AB9"/>
    <w:rsid w:val="00D64D7D"/>
    <w:rsid w:val="00D6514E"/>
    <w:rsid w:val="00D65488"/>
    <w:rsid w:val="00D65C0B"/>
    <w:rsid w:val="00D66396"/>
    <w:rsid w:val="00D67699"/>
    <w:rsid w:val="00D67703"/>
    <w:rsid w:val="00D71EF0"/>
    <w:rsid w:val="00D721B4"/>
    <w:rsid w:val="00D7365E"/>
    <w:rsid w:val="00D73AFE"/>
    <w:rsid w:val="00D74408"/>
    <w:rsid w:val="00D751CF"/>
    <w:rsid w:val="00D75C40"/>
    <w:rsid w:val="00D760F4"/>
    <w:rsid w:val="00D765A6"/>
    <w:rsid w:val="00D80DD3"/>
    <w:rsid w:val="00D813B4"/>
    <w:rsid w:val="00D82A70"/>
    <w:rsid w:val="00D842FB"/>
    <w:rsid w:val="00D8496B"/>
    <w:rsid w:val="00D8520B"/>
    <w:rsid w:val="00D85519"/>
    <w:rsid w:val="00D86A04"/>
    <w:rsid w:val="00D90486"/>
    <w:rsid w:val="00D91D64"/>
    <w:rsid w:val="00D92503"/>
    <w:rsid w:val="00D92799"/>
    <w:rsid w:val="00D933F2"/>
    <w:rsid w:val="00D93773"/>
    <w:rsid w:val="00D94C1E"/>
    <w:rsid w:val="00D95114"/>
    <w:rsid w:val="00D95517"/>
    <w:rsid w:val="00D95DE5"/>
    <w:rsid w:val="00D9622B"/>
    <w:rsid w:val="00D968F5"/>
    <w:rsid w:val="00D97A2B"/>
    <w:rsid w:val="00DA0361"/>
    <w:rsid w:val="00DA06A6"/>
    <w:rsid w:val="00DA0770"/>
    <w:rsid w:val="00DA2A4B"/>
    <w:rsid w:val="00DA309D"/>
    <w:rsid w:val="00DA3CD6"/>
    <w:rsid w:val="00DA446C"/>
    <w:rsid w:val="00DA44A5"/>
    <w:rsid w:val="00DA4FEA"/>
    <w:rsid w:val="00DA69A1"/>
    <w:rsid w:val="00DA6BE1"/>
    <w:rsid w:val="00DB0807"/>
    <w:rsid w:val="00DB1AD7"/>
    <w:rsid w:val="00DB250C"/>
    <w:rsid w:val="00DB308F"/>
    <w:rsid w:val="00DB5F69"/>
    <w:rsid w:val="00DB6AC7"/>
    <w:rsid w:val="00DC0110"/>
    <w:rsid w:val="00DC096C"/>
    <w:rsid w:val="00DC16AA"/>
    <w:rsid w:val="00DC2FF2"/>
    <w:rsid w:val="00DC4180"/>
    <w:rsid w:val="00DC522E"/>
    <w:rsid w:val="00DC609B"/>
    <w:rsid w:val="00DC6BE2"/>
    <w:rsid w:val="00DD07F6"/>
    <w:rsid w:val="00DD0BC7"/>
    <w:rsid w:val="00DD1C37"/>
    <w:rsid w:val="00DD3023"/>
    <w:rsid w:val="00DD5200"/>
    <w:rsid w:val="00DD5FBB"/>
    <w:rsid w:val="00DD723E"/>
    <w:rsid w:val="00DE2096"/>
    <w:rsid w:val="00DE380A"/>
    <w:rsid w:val="00DE4EA6"/>
    <w:rsid w:val="00DE4F6A"/>
    <w:rsid w:val="00DE5840"/>
    <w:rsid w:val="00DE6180"/>
    <w:rsid w:val="00DE6430"/>
    <w:rsid w:val="00DF0803"/>
    <w:rsid w:val="00DF17D9"/>
    <w:rsid w:val="00DF1BAD"/>
    <w:rsid w:val="00DF2A25"/>
    <w:rsid w:val="00DF2A6C"/>
    <w:rsid w:val="00DF2B08"/>
    <w:rsid w:val="00DF2E39"/>
    <w:rsid w:val="00DF2FBA"/>
    <w:rsid w:val="00DF382E"/>
    <w:rsid w:val="00DF4987"/>
    <w:rsid w:val="00DF4D15"/>
    <w:rsid w:val="00DF52FF"/>
    <w:rsid w:val="00DF7E5B"/>
    <w:rsid w:val="00DF7E6E"/>
    <w:rsid w:val="00DF7EAD"/>
    <w:rsid w:val="00E000F0"/>
    <w:rsid w:val="00E011A3"/>
    <w:rsid w:val="00E01369"/>
    <w:rsid w:val="00E02950"/>
    <w:rsid w:val="00E04585"/>
    <w:rsid w:val="00E05DDC"/>
    <w:rsid w:val="00E103F1"/>
    <w:rsid w:val="00E10602"/>
    <w:rsid w:val="00E10661"/>
    <w:rsid w:val="00E11B41"/>
    <w:rsid w:val="00E11DCE"/>
    <w:rsid w:val="00E11F9B"/>
    <w:rsid w:val="00E13751"/>
    <w:rsid w:val="00E15607"/>
    <w:rsid w:val="00E21C83"/>
    <w:rsid w:val="00E231BA"/>
    <w:rsid w:val="00E24C00"/>
    <w:rsid w:val="00E25108"/>
    <w:rsid w:val="00E251BD"/>
    <w:rsid w:val="00E27395"/>
    <w:rsid w:val="00E31B39"/>
    <w:rsid w:val="00E32DD5"/>
    <w:rsid w:val="00E33563"/>
    <w:rsid w:val="00E34A88"/>
    <w:rsid w:val="00E356C8"/>
    <w:rsid w:val="00E35A3D"/>
    <w:rsid w:val="00E37C41"/>
    <w:rsid w:val="00E40394"/>
    <w:rsid w:val="00E40B64"/>
    <w:rsid w:val="00E40C60"/>
    <w:rsid w:val="00E4281F"/>
    <w:rsid w:val="00E44052"/>
    <w:rsid w:val="00E4473B"/>
    <w:rsid w:val="00E44EB9"/>
    <w:rsid w:val="00E459D4"/>
    <w:rsid w:val="00E460DC"/>
    <w:rsid w:val="00E46E51"/>
    <w:rsid w:val="00E50667"/>
    <w:rsid w:val="00E50CAF"/>
    <w:rsid w:val="00E5218C"/>
    <w:rsid w:val="00E52315"/>
    <w:rsid w:val="00E53397"/>
    <w:rsid w:val="00E53D60"/>
    <w:rsid w:val="00E53E64"/>
    <w:rsid w:val="00E56D0F"/>
    <w:rsid w:val="00E56EE3"/>
    <w:rsid w:val="00E57ACE"/>
    <w:rsid w:val="00E604C2"/>
    <w:rsid w:val="00E61C32"/>
    <w:rsid w:val="00E63744"/>
    <w:rsid w:val="00E641A4"/>
    <w:rsid w:val="00E66758"/>
    <w:rsid w:val="00E70C90"/>
    <w:rsid w:val="00E7116A"/>
    <w:rsid w:val="00E71445"/>
    <w:rsid w:val="00E71C09"/>
    <w:rsid w:val="00E72553"/>
    <w:rsid w:val="00E74DF2"/>
    <w:rsid w:val="00E74F99"/>
    <w:rsid w:val="00E7603D"/>
    <w:rsid w:val="00E766A8"/>
    <w:rsid w:val="00E76ECF"/>
    <w:rsid w:val="00E77018"/>
    <w:rsid w:val="00E772E5"/>
    <w:rsid w:val="00E77944"/>
    <w:rsid w:val="00E81C20"/>
    <w:rsid w:val="00E821CA"/>
    <w:rsid w:val="00E8287D"/>
    <w:rsid w:val="00E84503"/>
    <w:rsid w:val="00E84E58"/>
    <w:rsid w:val="00E85DCD"/>
    <w:rsid w:val="00E86957"/>
    <w:rsid w:val="00E86B21"/>
    <w:rsid w:val="00E87DAC"/>
    <w:rsid w:val="00E90393"/>
    <w:rsid w:val="00E925E2"/>
    <w:rsid w:val="00E9342E"/>
    <w:rsid w:val="00E945D9"/>
    <w:rsid w:val="00E94A58"/>
    <w:rsid w:val="00E95400"/>
    <w:rsid w:val="00E97CBB"/>
    <w:rsid w:val="00EA0D36"/>
    <w:rsid w:val="00EA0E28"/>
    <w:rsid w:val="00EA52D6"/>
    <w:rsid w:val="00EA6670"/>
    <w:rsid w:val="00EA77B7"/>
    <w:rsid w:val="00EA7DF7"/>
    <w:rsid w:val="00EB09E2"/>
    <w:rsid w:val="00EB0AB0"/>
    <w:rsid w:val="00EB0F70"/>
    <w:rsid w:val="00EB2719"/>
    <w:rsid w:val="00EB61ED"/>
    <w:rsid w:val="00EB6E66"/>
    <w:rsid w:val="00EB7965"/>
    <w:rsid w:val="00EC023E"/>
    <w:rsid w:val="00EC06CD"/>
    <w:rsid w:val="00EC3519"/>
    <w:rsid w:val="00EC492D"/>
    <w:rsid w:val="00EC55AA"/>
    <w:rsid w:val="00EC6909"/>
    <w:rsid w:val="00ED2444"/>
    <w:rsid w:val="00ED4F7D"/>
    <w:rsid w:val="00ED630F"/>
    <w:rsid w:val="00ED70FB"/>
    <w:rsid w:val="00ED74FC"/>
    <w:rsid w:val="00EE0B4C"/>
    <w:rsid w:val="00EE0D4F"/>
    <w:rsid w:val="00EE0DDB"/>
    <w:rsid w:val="00EE18C7"/>
    <w:rsid w:val="00EE1953"/>
    <w:rsid w:val="00EE20B5"/>
    <w:rsid w:val="00EE2BA5"/>
    <w:rsid w:val="00EE2EBB"/>
    <w:rsid w:val="00EE35E0"/>
    <w:rsid w:val="00EE36B3"/>
    <w:rsid w:val="00EE654F"/>
    <w:rsid w:val="00EE7781"/>
    <w:rsid w:val="00EE7927"/>
    <w:rsid w:val="00EE7971"/>
    <w:rsid w:val="00EF07D7"/>
    <w:rsid w:val="00EF097B"/>
    <w:rsid w:val="00EF2D27"/>
    <w:rsid w:val="00EF3417"/>
    <w:rsid w:val="00EF34B2"/>
    <w:rsid w:val="00EF3E81"/>
    <w:rsid w:val="00EF402C"/>
    <w:rsid w:val="00EF4086"/>
    <w:rsid w:val="00EF40F4"/>
    <w:rsid w:val="00EF413E"/>
    <w:rsid w:val="00EF49CD"/>
    <w:rsid w:val="00EF5F52"/>
    <w:rsid w:val="00EF602E"/>
    <w:rsid w:val="00EF6A31"/>
    <w:rsid w:val="00EF7AF6"/>
    <w:rsid w:val="00EF7BF1"/>
    <w:rsid w:val="00F01C52"/>
    <w:rsid w:val="00F026E6"/>
    <w:rsid w:val="00F0295F"/>
    <w:rsid w:val="00F0305E"/>
    <w:rsid w:val="00F0310E"/>
    <w:rsid w:val="00F0416B"/>
    <w:rsid w:val="00F0683C"/>
    <w:rsid w:val="00F06C1F"/>
    <w:rsid w:val="00F07781"/>
    <w:rsid w:val="00F07C34"/>
    <w:rsid w:val="00F10288"/>
    <w:rsid w:val="00F10393"/>
    <w:rsid w:val="00F1097B"/>
    <w:rsid w:val="00F10C2F"/>
    <w:rsid w:val="00F117B8"/>
    <w:rsid w:val="00F125BA"/>
    <w:rsid w:val="00F128A8"/>
    <w:rsid w:val="00F12B5B"/>
    <w:rsid w:val="00F147A7"/>
    <w:rsid w:val="00F14D18"/>
    <w:rsid w:val="00F15EB2"/>
    <w:rsid w:val="00F16461"/>
    <w:rsid w:val="00F20210"/>
    <w:rsid w:val="00F216EB"/>
    <w:rsid w:val="00F22137"/>
    <w:rsid w:val="00F2287C"/>
    <w:rsid w:val="00F22F29"/>
    <w:rsid w:val="00F23020"/>
    <w:rsid w:val="00F23D93"/>
    <w:rsid w:val="00F24013"/>
    <w:rsid w:val="00F24DF8"/>
    <w:rsid w:val="00F266BA"/>
    <w:rsid w:val="00F26E2C"/>
    <w:rsid w:val="00F27027"/>
    <w:rsid w:val="00F30199"/>
    <w:rsid w:val="00F30B2E"/>
    <w:rsid w:val="00F32F5D"/>
    <w:rsid w:val="00F341FD"/>
    <w:rsid w:val="00F34C6F"/>
    <w:rsid w:val="00F34E4D"/>
    <w:rsid w:val="00F35586"/>
    <w:rsid w:val="00F363ED"/>
    <w:rsid w:val="00F36FC8"/>
    <w:rsid w:val="00F37083"/>
    <w:rsid w:val="00F400C8"/>
    <w:rsid w:val="00F40555"/>
    <w:rsid w:val="00F4097A"/>
    <w:rsid w:val="00F40DAC"/>
    <w:rsid w:val="00F43B0A"/>
    <w:rsid w:val="00F45749"/>
    <w:rsid w:val="00F4639B"/>
    <w:rsid w:val="00F46AC4"/>
    <w:rsid w:val="00F475B8"/>
    <w:rsid w:val="00F479A8"/>
    <w:rsid w:val="00F516BF"/>
    <w:rsid w:val="00F535C4"/>
    <w:rsid w:val="00F537DE"/>
    <w:rsid w:val="00F538FE"/>
    <w:rsid w:val="00F54579"/>
    <w:rsid w:val="00F5626B"/>
    <w:rsid w:val="00F56E74"/>
    <w:rsid w:val="00F57113"/>
    <w:rsid w:val="00F571E7"/>
    <w:rsid w:val="00F57C30"/>
    <w:rsid w:val="00F61019"/>
    <w:rsid w:val="00F63C48"/>
    <w:rsid w:val="00F645B1"/>
    <w:rsid w:val="00F646B7"/>
    <w:rsid w:val="00F64CFA"/>
    <w:rsid w:val="00F669AA"/>
    <w:rsid w:val="00F66ECC"/>
    <w:rsid w:val="00F67E83"/>
    <w:rsid w:val="00F72ACA"/>
    <w:rsid w:val="00F73132"/>
    <w:rsid w:val="00F73F9A"/>
    <w:rsid w:val="00F74816"/>
    <w:rsid w:val="00F74900"/>
    <w:rsid w:val="00F75406"/>
    <w:rsid w:val="00F75FFE"/>
    <w:rsid w:val="00F7641E"/>
    <w:rsid w:val="00F766AB"/>
    <w:rsid w:val="00F77C42"/>
    <w:rsid w:val="00F80E88"/>
    <w:rsid w:val="00F8129B"/>
    <w:rsid w:val="00F817DD"/>
    <w:rsid w:val="00F81951"/>
    <w:rsid w:val="00F81D6B"/>
    <w:rsid w:val="00F83008"/>
    <w:rsid w:val="00F834D3"/>
    <w:rsid w:val="00F84022"/>
    <w:rsid w:val="00F844B2"/>
    <w:rsid w:val="00F846F2"/>
    <w:rsid w:val="00F857C1"/>
    <w:rsid w:val="00F85891"/>
    <w:rsid w:val="00F85C39"/>
    <w:rsid w:val="00F85F7D"/>
    <w:rsid w:val="00F869D1"/>
    <w:rsid w:val="00F86D4C"/>
    <w:rsid w:val="00F86DA3"/>
    <w:rsid w:val="00F87110"/>
    <w:rsid w:val="00F87282"/>
    <w:rsid w:val="00F87328"/>
    <w:rsid w:val="00F90767"/>
    <w:rsid w:val="00F90987"/>
    <w:rsid w:val="00F91077"/>
    <w:rsid w:val="00F91360"/>
    <w:rsid w:val="00F913DC"/>
    <w:rsid w:val="00F92BEC"/>
    <w:rsid w:val="00F92FEE"/>
    <w:rsid w:val="00F9358E"/>
    <w:rsid w:val="00F935FE"/>
    <w:rsid w:val="00F9543A"/>
    <w:rsid w:val="00F95D30"/>
    <w:rsid w:val="00F9618D"/>
    <w:rsid w:val="00F97ECB"/>
    <w:rsid w:val="00FA08D5"/>
    <w:rsid w:val="00FA285C"/>
    <w:rsid w:val="00FA2B0A"/>
    <w:rsid w:val="00FA366A"/>
    <w:rsid w:val="00FA5889"/>
    <w:rsid w:val="00FA6959"/>
    <w:rsid w:val="00FA771D"/>
    <w:rsid w:val="00FB16ED"/>
    <w:rsid w:val="00FB2FA0"/>
    <w:rsid w:val="00FB30BA"/>
    <w:rsid w:val="00FB4156"/>
    <w:rsid w:val="00FB455B"/>
    <w:rsid w:val="00FB46DB"/>
    <w:rsid w:val="00FB6CC5"/>
    <w:rsid w:val="00FB72BD"/>
    <w:rsid w:val="00FB791B"/>
    <w:rsid w:val="00FB7A76"/>
    <w:rsid w:val="00FC089A"/>
    <w:rsid w:val="00FC23FA"/>
    <w:rsid w:val="00FC2B9E"/>
    <w:rsid w:val="00FC2C19"/>
    <w:rsid w:val="00FC2F54"/>
    <w:rsid w:val="00FC3259"/>
    <w:rsid w:val="00FC32EB"/>
    <w:rsid w:val="00FC4A3E"/>
    <w:rsid w:val="00FC4E34"/>
    <w:rsid w:val="00FC4FEF"/>
    <w:rsid w:val="00FC563D"/>
    <w:rsid w:val="00FC61DF"/>
    <w:rsid w:val="00FC7679"/>
    <w:rsid w:val="00FC7E05"/>
    <w:rsid w:val="00FD10A4"/>
    <w:rsid w:val="00FD160E"/>
    <w:rsid w:val="00FD1F3F"/>
    <w:rsid w:val="00FD3EC7"/>
    <w:rsid w:val="00FD4563"/>
    <w:rsid w:val="00FD534B"/>
    <w:rsid w:val="00FD55EF"/>
    <w:rsid w:val="00FD602C"/>
    <w:rsid w:val="00FE05D0"/>
    <w:rsid w:val="00FE0A62"/>
    <w:rsid w:val="00FE0D75"/>
    <w:rsid w:val="00FE1153"/>
    <w:rsid w:val="00FE1F9C"/>
    <w:rsid w:val="00FE2C54"/>
    <w:rsid w:val="00FE2CC1"/>
    <w:rsid w:val="00FE40E9"/>
    <w:rsid w:val="00FE454C"/>
    <w:rsid w:val="00FE49FE"/>
    <w:rsid w:val="00FE4E2D"/>
    <w:rsid w:val="00FE505C"/>
    <w:rsid w:val="00FE57EB"/>
    <w:rsid w:val="00FE61E3"/>
    <w:rsid w:val="00FE64B3"/>
    <w:rsid w:val="00FE652B"/>
    <w:rsid w:val="00FE758A"/>
    <w:rsid w:val="00FF0BFB"/>
    <w:rsid w:val="00FF0E5C"/>
    <w:rsid w:val="00FF0F45"/>
    <w:rsid w:val="00FF245A"/>
    <w:rsid w:val="00FF3F3C"/>
    <w:rsid w:val="00FF3FD2"/>
    <w:rsid w:val="00FF522C"/>
    <w:rsid w:val="00FF5A97"/>
    <w:rsid w:val="00FF5B25"/>
    <w:rsid w:val="00FF62D0"/>
    <w:rsid w:val="00FF7E44"/>
    <w:rsid w:val="05262CCC"/>
    <w:rsid w:val="074C2805"/>
    <w:rsid w:val="0E8754BB"/>
    <w:rsid w:val="0FD20C69"/>
    <w:rsid w:val="17B26A5E"/>
    <w:rsid w:val="1D5F6FA4"/>
    <w:rsid w:val="1DE247C8"/>
    <w:rsid w:val="2026312A"/>
    <w:rsid w:val="244217DD"/>
    <w:rsid w:val="247C0DEE"/>
    <w:rsid w:val="26752530"/>
    <w:rsid w:val="2BFE0FB8"/>
    <w:rsid w:val="30BA5E37"/>
    <w:rsid w:val="30D43824"/>
    <w:rsid w:val="32ED43B5"/>
    <w:rsid w:val="33B41FB9"/>
    <w:rsid w:val="34156FF1"/>
    <w:rsid w:val="34D25245"/>
    <w:rsid w:val="358032B2"/>
    <w:rsid w:val="371C7ADA"/>
    <w:rsid w:val="37E01F2D"/>
    <w:rsid w:val="38E90425"/>
    <w:rsid w:val="39180098"/>
    <w:rsid w:val="3A231D09"/>
    <w:rsid w:val="3D595B5B"/>
    <w:rsid w:val="3FF33797"/>
    <w:rsid w:val="40F621B8"/>
    <w:rsid w:val="427955FD"/>
    <w:rsid w:val="44DC74B9"/>
    <w:rsid w:val="496403A6"/>
    <w:rsid w:val="4A036700"/>
    <w:rsid w:val="4ADE0709"/>
    <w:rsid w:val="4F9763DF"/>
    <w:rsid w:val="54EF02FA"/>
    <w:rsid w:val="553B2733"/>
    <w:rsid w:val="567104AA"/>
    <w:rsid w:val="582F3E68"/>
    <w:rsid w:val="58A82687"/>
    <w:rsid w:val="5B442947"/>
    <w:rsid w:val="5C551C72"/>
    <w:rsid w:val="60EC1194"/>
    <w:rsid w:val="611841DD"/>
    <w:rsid w:val="65792768"/>
    <w:rsid w:val="65953B01"/>
    <w:rsid w:val="65AC6EEF"/>
    <w:rsid w:val="6CB4719B"/>
    <w:rsid w:val="6F4A1830"/>
    <w:rsid w:val="72075BD2"/>
    <w:rsid w:val="73157BE1"/>
    <w:rsid w:val="74710225"/>
    <w:rsid w:val="75F017C7"/>
    <w:rsid w:val="7C5E1F08"/>
    <w:rsid w:val="7E135C2B"/>
    <w:rsid w:val="7E3D03D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List 3"/>
    <w:basedOn w:val="1"/>
    <w:qFormat/>
    <w:uiPriority w:val="0"/>
    <w:pPr>
      <w:ind w:left="100" w:leftChars="400" w:hanging="200" w:hangingChars="200"/>
    </w:pPr>
  </w:style>
  <w:style w:type="paragraph" w:styleId="6">
    <w:name w:val="Normal Indent"/>
    <w:basedOn w:val="1"/>
    <w:qFormat/>
    <w:uiPriority w:val="0"/>
    <w:pPr>
      <w:ind w:firstLine="420" w:firstLineChars="200"/>
    </w:pPr>
  </w:style>
  <w:style w:type="paragraph" w:styleId="7">
    <w:name w:val="Document Map"/>
    <w:basedOn w:val="1"/>
    <w:semiHidden/>
    <w:qFormat/>
    <w:uiPriority w:val="0"/>
    <w:pPr>
      <w:shd w:val="clear" w:color="auto" w:fill="000080"/>
    </w:pPr>
  </w:style>
  <w:style w:type="paragraph" w:styleId="8">
    <w:name w:val="annotation text"/>
    <w:basedOn w:val="1"/>
    <w:link w:val="53"/>
    <w:semiHidden/>
    <w:qFormat/>
    <w:uiPriority w:val="0"/>
    <w:pPr>
      <w:jc w:val="left"/>
    </w:pPr>
  </w:style>
  <w:style w:type="paragraph" w:styleId="9">
    <w:name w:val="Body Text 3"/>
    <w:basedOn w:val="1"/>
    <w:qFormat/>
    <w:uiPriority w:val="0"/>
    <w:pPr>
      <w:widowControl/>
      <w:spacing w:line="340" w:lineRule="exact"/>
      <w:jc w:val="center"/>
    </w:pPr>
    <w:rPr>
      <w:rFonts w:eastAsia="仿宋_GB2312"/>
      <w:kern w:val="0"/>
      <w:sz w:val="28"/>
      <w:szCs w:val="20"/>
    </w:rPr>
  </w:style>
  <w:style w:type="paragraph" w:styleId="10">
    <w:name w:val="Body Text"/>
    <w:basedOn w:val="1"/>
    <w:qFormat/>
    <w:uiPriority w:val="0"/>
    <w:pPr>
      <w:spacing w:after="120"/>
    </w:pPr>
  </w:style>
  <w:style w:type="paragraph" w:styleId="11">
    <w:name w:val="Body Text Indent"/>
    <w:basedOn w:val="1"/>
    <w:qFormat/>
    <w:uiPriority w:val="0"/>
    <w:pPr>
      <w:spacing w:line="360" w:lineRule="auto"/>
      <w:ind w:left="359" w:leftChars="171" w:firstLine="549" w:firstLineChars="196"/>
    </w:pPr>
    <w:rPr>
      <w:rFonts w:ascii="仿宋_GB2312" w:hAnsi="宋体" w:eastAsia="仿宋_GB2312"/>
      <w:sz w:val="28"/>
    </w:rPr>
  </w:style>
  <w:style w:type="paragraph" w:styleId="12">
    <w:name w:val="List 2"/>
    <w:basedOn w:val="1"/>
    <w:qFormat/>
    <w:uiPriority w:val="0"/>
    <w:pPr>
      <w:ind w:left="840" w:hanging="420"/>
    </w:pPr>
    <w:rPr>
      <w:szCs w:val="20"/>
    </w:rPr>
  </w:style>
  <w:style w:type="paragraph" w:styleId="13">
    <w:name w:val="Plain Text"/>
    <w:basedOn w:val="1"/>
    <w:qFormat/>
    <w:uiPriority w:val="0"/>
    <w:rPr>
      <w:rFonts w:ascii="宋体" w:hAnsi="Courier New" w:cs="宋体"/>
      <w:szCs w:val="21"/>
    </w:rPr>
  </w:style>
  <w:style w:type="paragraph" w:styleId="14">
    <w:name w:val="Date"/>
    <w:basedOn w:val="1"/>
    <w:next w:val="1"/>
    <w:qFormat/>
    <w:uiPriority w:val="0"/>
    <w:pPr>
      <w:ind w:left="100" w:leftChars="2500"/>
    </w:pPr>
  </w:style>
  <w:style w:type="paragraph" w:styleId="15">
    <w:name w:val="Body Text Indent 2"/>
    <w:basedOn w:val="1"/>
    <w:qFormat/>
    <w:uiPriority w:val="0"/>
    <w:pPr>
      <w:ind w:firstLine="566"/>
    </w:pPr>
    <w:rPr>
      <w:rFonts w:ascii="Arial" w:hAnsi="Arial" w:eastAsia="仿宋_GB2312"/>
      <w:sz w:val="24"/>
    </w:rPr>
  </w:style>
  <w:style w:type="paragraph" w:styleId="16">
    <w:name w:val="Balloon Text"/>
    <w:basedOn w:val="1"/>
    <w:link w:val="51"/>
    <w:semiHidden/>
    <w:qFormat/>
    <w:uiPriority w:val="0"/>
    <w:rPr>
      <w:sz w:val="18"/>
      <w:szCs w:val="18"/>
    </w:rPr>
  </w:style>
  <w:style w:type="paragraph" w:styleId="17">
    <w:name w:val="footer"/>
    <w:basedOn w:val="1"/>
    <w:link w:val="50"/>
    <w:qFormat/>
    <w:uiPriority w:val="0"/>
    <w:pPr>
      <w:tabs>
        <w:tab w:val="center" w:pos="4153"/>
        <w:tab w:val="right" w:pos="8306"/>
      </w:tabs>
      <w:snapToGrid w:val="0"/>
      <w:jc w:val="left"/>
    </w:pPr>
    <w:rPr>
      <w:sz w:val="18"/>
      <w:szCs w:val="18"/>
    </w:rPr>
  </w:style>
  <w:style w:type="paragraph" w:styleId="18">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qFormat/>
    <w:uiPriority w:val="0"/>
  </w:style>
  <w:style w:type="paragraph" w:styleId="20">
    <w:name w:val="Subtitle"/>
    <w:basedOn w:val="1"/>
    <w:next w:val="1"/>
    <w:link w:val="52"/>
    <w:qFormat/>
    <w:uiPriority w:val="0"/>
    <w:pPr>
      <w:spacing w:before="240" w:after="60" w:line="312" w:lineRule="auto"/>
      <w:jc w:val="center"/>
      <w:outlineLvl w:val="1"/>
    </w:pPr>
    <w:rPr>
      <w:rFonts w:ascii="Cambria" w:hAnsi="Cambria"/>
      <w:b/>
      <w:bCs/>
      <w:kern w:val="28"/>
      <w:sz w:val="32"/>
      <w:szCs w:val="32"/>
    </w:rPr>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semiHidden/>
    <w:qFormat/>
    <w:uiPriority w:val="0"/>
    <w:pPr>
      <w:ind w:left="420" w:leftChars="200"/>
    </w:pPr>
  </w:style>
  <w:style w:type="paragraph" w:styleId="23">
    <w:name w:val="Body Text 2"/>
    <w:basedOn w:val="1"/>
    <w:qFormat/>
    <w:uiPriority w:val="0"/>
    <w:pPr>
      <w:spacing w:after="120" w:line="480" w:lineRule="auto"/>
    </w:pPr>
    <w:rPr>
      <w:szCs w:val="20"/>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6">
    <w:name w:val="annotation subject"/>
    <w:basedOn w:val="8"/>
    <w:next w:val="8"/>
    <w:link w:val="54"/>
    <w:qFormat/>
    <w:uiPriority w:val="0"/>
    <w:rPr>
      <w:b/>
      <w:bCs/>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b/>
      <w:bCs/>
    </w:rPr>
  </w:style>
  <w:style w:type="character" w:styleId="31">
    <w:name w:val="page number"/>
    <w:basedOn w:val="29"/>
    <w:qFormat/>
    <w:uiPriority w:val="0"/>
  </w:style>
  <w:style w:type="character" w:styleId="32">
    <w:name w:val="Hyperlink"/>
    <w:qFormat/>
    <w:uiPriority w:val="0"/>
    <w:rPr>
      <w:color w:val="4E7FB7"/>
      <w:u w:val="none"/>
    </w:rPr>
  </w:style>
  <w:style w:type="character" w:styleId="33">
    <w:name w:val="annotation reference"/>
    <w:qFormat/>
    <w:uiPriority w:val="0"/>
    <w:rPr>
      <w:sz w:val="21"/>
      <w:szCs w:val="21"/>
    </w:rPr>
  </w:style>
  <w:style w:type="character" w:customStyle="1" w:styleId="34">
    <w:name w:val="标题 1 Char"/>
    <w:link w:val="2"/>
    <w:qFormat/>
    <w:uiPriority w:val="0"/>
    <w:rPr>
      <w:rFonts w:eastAsia="宋体"/>
      <w:b/>
      <w:bCs/>
      <w:kern w:val="44"/>
      <w:sz w:val="44"/>
      <w:szCs w:val="44"/>
      <w:lang w:val="en-US" w:eastAsia="zh-CN" w:bidi="ar-SA"/>
    </w:rPr>
  </w:style>
  <w:style w:type="paragraph" w:customStyle="1" w:styleId="35">
    <w:name w:val="Char"/>
    <w:basedOn w:val="1"/>
    <w:qFormat/>
    <w:uiPriority w:val="0"/>
    <w:rPr>
      <w:rFonts w:ascii="Tahoma" w:hAnsi="Tahoma"/>
      <w:sz w:val="24"/>
      <w:szCs w:val="20"/>
    </w:rPr>
  </w:style>
  <w:style w:type="character" w:customStyle="1" w:styleId="36">
    <w:name w:val="标题 2 Char"/>
    <w:link w:val="3"/>
    <w:qFormat/>
    <w:uiPriority w:val="0"/>
    <w:rPr>
      <w:rFonts w:ascii="Arial" w:hAnsi="Arial" w:eastAsia="黑体"/>
      <w:b/>
      <w:bCs/>
      <w:kern w:val="2"/>
      <w:sz w:val="32"/>
      <w:szCs w:val="32"/>
      <w:lang w:val="en-US" w:eastAsia="zh-CN" w:bidi="ar-SA"/>
    </w:rPr>
  </w:style>
  <w:style w:type="paragraph" w:customStyle="1" w:styleId="37">
    <w:name w:val="Char11"/>
    <w:basedOn w:val="1"/>
    <w:qFormat/>
    <w:uiPriority w:val="0"/>
    <w:rPr>
      <w:rFonts w:ascii="Tahoma" w:hAnsi="Tahoma"/>
      <w:sz w:val="24"/>
      <w:szCs w:val="20"/>
    </w:rPr>
  </w:style>
  <w:style w:type="paragraph" w:customStyle="1" w:styleId="38">
    <w:name w:val="Char1 Char Char Char"/>
    <w:basedOn w:val="1"/>
    <w:qFormat/>
    <w:uiPriority w:val="0"/>
    <w:rPr>
      <w:rFonts w:ascii="Tahoma" w:hAnsi="Tahoma"/>
      <w:sz w:val="24"/>
      <w:szCs w:val="20"/>
    </w:rPr>
  </w:style>
  <w:style w:type="paragraph" w:customStyle="1" w:styleId="39">
    <w:name w:val="Char1"/>
    <w:basedOn w:val="1"/>
    <w:qFormat/>
    <w:uiPriority w:val="0"/>
    <w:rPr>
      <w:rFonts w:ascii="Tahoma" w:hAnsi="Tahoma"/>
      <w:sz w:val="24"/>
      <w:szCs w:val="20"/>
    </w:rPr>
  </w:style>
  <w:style w:type="paragraph" w:customStyle="1" w:styleId="40">
    <w:name w:val="Char Char1 Char Char2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41">
    <w:name w:val="fontcontent"/>
    <w:basedOn w:val="29"/>
    <w:qFormat/>
    <w:uiPriority w:val="0"/>
  </w:style>
  <w:style w:type="paragraph" w:customStyle="1" w:styleId="42">
    <w:name w:val="普通(网站)1"/>
    <w:basedOn w:val="1"/>
    <w:qFormat/>
    <w:uiPriority w:val="0"/>
    <w:pPr>
      <w:widowControl/>
      <w:spacing w:before="100" w:beforeAutospacing="1" w:after="100" w:afterAutospacing="1"/>
      <w:jc w:val="left"/>
    </w:pPr>
    <w:rPr>
      <w:rFonts w:hint="eastAsia" w:ascii="宋体" w:hAnsi="宋体"/>
      <w:sz w:val="24"/>
      <w:szCs w:val="20"/>
    </w:rPr>
  </w:style>
  <w:style w:type="paragraph" w:customStyle="1" w:styleId="43">
    <w:name w:val="p0"/>
    <w:basedOn w:val="1"/>
    <w:qFormat/>
    <w:uiPriority w:val="0"/>
    <w:pPr>
      <w:widowControl/>
    </w:pPr>
    <w:rPr>
      <w:rFonts w:hint="eastAsia"/>
      <w:szCs w:val="20"/>
    </w:rPr>
  </w:style>
  <w:style w:type="paragraph" w:customStyle="1" w:styleId="44">
    <w:name w:val="默认段落字体 Para Char Char Char Char Char Char Char Char Char Char"/>
    <w:basedOn w:val="1"/>
    <w:qFormat/>
    <w:uiPriority w:val="0"/>
  </w:style>
  <w:style w:type="paragraph" w:customStyle="1" w:styleId="45">
    <w:name w:val="Char Char Char Char Char Char Char Char Char Char Char Char Char Char Char Char Char Char Char"/>
    <w:basedOn w:val="1"/>
    <w:qFormat/>
    <w:uiPriority w:val="0"/>
    <w:pPr>
      <w:tabs>
        <w:tab w:val="left" w:pos="840"/>
      </w:tabs>
      <w:ind w:left="840" w:hanging="360"/>
    </w:pPr>
    <w:rPr>
      <w:sz w:val="24"/>
    </w:rPr>
  </w:style>
  <w:style w:type="paragraph" w:customStyle="1" w:styleId="46">
    <w:name w:val="Char Char Char Char"/>
    <w:basedOn w:val="1"/>
    <w:qFormat/>
    <w:uiPriority w:val="0"/>
    <w:rPr>
      <w:rFonts w:ascii="Tahoma" w:hAnsi="Tahoma"/>
      <w:sz w:val="24"/>
      <w:szCs w:val="20"/>
    </w:rPr>
  </w:style>
  <w:style w:type="paragraph" w:customStyle="1" w:styleId="47">
    <w:name w:val="Char Char"/>
    <w:basedOn w:val="1"/>
    <w:qFormat/>
    <w:uiPriority w:val="0"/>
    <w:rPr>
      <w:rFonts w:ascii="Tahoma" w:hAnsi="Tahoma"/>
      <w:sz w:val="24"/>
      <w:szCs w:val="20"/>
    </w:rPr>
  </w:style>
  <w:style w:type="paragraph" w:customStyle="1" w:styleId="48">
    <w:name w:val="列出段落1"/>
    <w:basedOn w:val="1"/>
    <w:qFormat/>
    <w:uiPriority w:val="0"/>
    <w:pPr>
      <w:ind w:firstLine="420" w:firstLineChars="200"/>
    </w:pPr>
  </w:style>
  <w:style w:type="character" w:customStyle="1" w:styleId="49">
    <w:name w:val="页眉 Char"/>
    <w:link w:val="18"/>
    <w:semiHidden/>
    <w:qFormat/>
    <w:locked/>
    <w:uiPriority w:val="0"/>
    <w:rPr>
      <w:rFonts w:eastAsia="宋体"/>
      <w:kern w:val="2"/>
      <w:sz w:val="18"/>
      <w:szCs w:val="18"/>
      <w:lang w:val="en-US" w:eastAsia="zh-CN" w:bidi="ar-SA"/>
    </w:rPr>
  </w:style>
  <w:style w:type="character" w:customStyle="1" w:styleId="50">
    <w:name w:val="页脚 Char"/>
    <w:link w:val="17"/>
    <w:semiHidden/>
    <w:qFormat/>
    <w:locked/>
    <w:uiPriority w:val="0"/>
    <w:rPr>
      <w:rFonts w:eastAsia="宋体"/>
      <w:kern w:val="2"/>
      <w:sz w:val="18"/>
      <w:szCs w:val="18"/>
      <w:lang w:val="en-US" w:eastAsia="zh-CN" w:bidi="ar-SA"/>
    </w:rPr>
  </w:style>
  <w:style w:type="character" w:customStyle="1" w:styleId="51">
    <w:name w:val="批注框文本 Char"/>
    <w:link w:val="16"/>
    <w:semiHidden/>
    <w:qFormat/>
    <w:locked/>
    <w:uiPriority w:val="0"/>
    <w:rPr>
      <w:rFonts w:eastAsia="宋体"/>
      <w:kern w:val="2"/>
      <w:sz w:val="18"/>
      <w:szCs w:val="18"/>
      <w:lang w:val="en-US" w:eastAsia="zh-CN" w:bidi="ar-SA"/>
    </w:rPr>
  </w:style>
  <w:style w:type="character" w:customStyle="1" w:styleId="52">
    <w:name w:val="副标题 Char"/>
    <w:link w:val="20"/>
    <w:qFormat/>
    <w:uiPriority w:val="0"/>
    <w:rPr>
      <w:rFonts w:ascii="Cambria" w:hAnsi="Cambria" w:cs="Times New Roman"/>
      <w:b/>
      <w:bCs/>
      <w:kern w:val="28"/>
      <w:sz w:val="32"/>
      <w:szCs w:val="32"/>
    </w:rPr>
  </w:style>
  <w:style w:type="character" w:customStyle="1" w:styleId="53">
    <w:name w:val="批注文字 Char"/>
    <w:link w:val="8"/>
    <w:semiHidden/>
    <w:qFormat/>
    <w:uiPriority w:val="0"/>
    <w:rPr>
      <w:kern w:val="2"/>
      <w:sz w:val="21"/>
      <w:szCs w:val="24"/>
    </w:rPr>
  </w:style>
  <w:style w:type="character" w:customStyle="1" w:styleId="54">
    <w:name w:val="批注主题 Char"/>
    <w:link w:val="26"/>
    <w:qFormat/>
    <w:uiPriority w:val="0"/>
    <w:rPr>
      <w:b/>
      <w:bCs/>
      <w:kern w:val="2"/>
      <w:sz w:val="21"/>
      <w:szCs w:val="24"/>
    </w:rPr>
  </w:style>
  <w:style w:type="paragraph" w:customStyle="1" w:styleId="5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6">
    <w:name w:val="列出段落2"/>
    <w:basedOn w:val="1"/>
    <w:qFormat/>
    <w:uiPriority w:val="34"/>
    <w:pPr>
      <w:ind w:firstLine="420" w:firstLineChars="200"/>
    </w:pPr>
  </w:style>
  <w:style w:type="paragraph" w:customStyle="1" w:styleId="5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3"/>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8A0346-D72B-4767-AAE8-676216547A9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1577</Words>
  <Characters>8989</Characters>
  <Lines>74</Lines>
  <Paragraphs>21</Paragraphs>
  <TotalTime>53</TotalTime>
  <ScaleCrop>false</ScaleCrop>
  <LinksUpToDate>false</LinksUpToDate>
  <CharactersWithSpaces>10545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2016-10-18T09:48:00Z</dcterms:created>
  <dc:creator>丁刚</dc:creator>
  <cp:lastModifiedBy>周巧晗</cp:lastModifiedBy>
  <cp:lastPrinted>2016-03-28T07:08:00Z</cp:lastPrinted>
  <dcterms:modified xsi:type="dcterms:W3CDTF">2022-04-21T08:42:40Z</dcterms:modified>
  <dc:title>公文</dc:title>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