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28"/>
          <w:szCs w:val="28"/>
        </w:rPr>
      </w:pPr>
      <w:r>
        <w:rPr>
          <w:rFonts w:hint="eastAsia" w:ascii="仿宋" w:hAnsi="仿宋" w:eastAsia="仿宋" w:cs="仿宋"/>
          <w:b/>
          <w:bCs/>
          <w:sz w:val="28"/>
          <w:szCs w:val="28"/>
        </w:rPr>
        <w:t xml:space="preserve"> </w:t>
      </w:r>
      <w:r>
        <w:rPr>
          <w:rFonts w:hint="eastAsia" w:ascii="仿宋" w:hAnsi="仿宋" w:eastAsia="仿宋" w:cs="仿宋"/>
          <w:b/>
          <w:bCs/>
          <w:sz w:val="28"/>
          <w:szCs w:val="28"/>
          <w:lang w:eastAsia="zh-CN"/>
        </w:rPr>
        <w:t>重庆九龙坡民泰村镇银行</w:t>
      </w:r>
      <w:r>
        <w:rPr>
          <w:rFonts w:hint="eastAsia" w:ascii="仿宋" w:hAnsi="仿宋" w:eastAsia="仿宋" w:cs="仿宋"/>
          <w:b/>
          <w:bCs/>
          <w:sz w:val="28"/>
          <w:szCs w:val="28"/>
        </w:rPr>
        <w:t>个人银行结算账户管理协议</w:t>
      </w:r>
    </w:p>
    <w:p>
      <w:pPr>
        <w:jc w:val="left"/>
        <w:rPr>
          <w:rFonts w:ascii="仿宋" w:hAnsi="仿宋" w:eastAsia="仿宋" w:cs="仿宋"/>
          <w:sz w:val="21"/>
          <w:szCs w:val="21"/>
        </w:rPr>
      </w:pPr>
      <w:r>
        <w:rPr>
          <w:rFonts w:hint="eastAsia" w:ascii="仿宋" w:hAnsi="仿宋" w:eastAsia="仿宋" w:cs="仿宋"/>
          <w:sz w:val="21"/>
          <w:szCs w:val="21"/>
        </w:rPr>
        <w:t>甲方：_______________________________________</w:t>
      </w:r>
    </w:p>
    <w:p>
      <w:pPr>
        <w:jc w:val="left"/>
        <w:rPr>
          <w:rFonts w:ascii="仿宋" w:hAnsi="仿宋" w:eastAsia="仿宋" w:cs="仿宋"/>
          <w:sz w:val="21"/>
          <w:szCs w:val="21"/>
        </w:rPr>
      </w:pPr>
      <w:r>
        <w:rPr>
          <w:rFonts w:hint="eastAsia" w:ascii="仿宋" w:hAnsi="仿宋" w:eastAsia="仿宋" w:cs="仿宋"/>
          <w:sz w:val="21"/>
          <w:szCs w:val="21"/>
        </w:rPr>
        <w:t>乙方：</w:t>
      </w:r>
      <w:r>
        <w:rPr>
          <w:rFonts w:hint="eastAsia" w:ascii="仿宋" w:hAnsi="仿宋" w:eastAsia="仿宋" w:cs="仿宋"/>
          <w:sz w:val="21"/>
          <w:szCs w:val="21"/>
          <w:lang w:eastAsia="zh-CN"/>
        </w:rPr>
        <w:t>重庆九龙坡民泰村镇银行</w:t>
      </w:r>
      <w:r>
        <w:rPr>
          <w:rFonts w:hint="eastAsia" w:ascii="仿宋" w:hAnsi="仿宋" w:eastAsia="仿宋" w:cs="仿宋"/>
          <w:sz w:val="21"/>
          <w:szCs w:val="21"/>
        </w:rPr>
        <w:t>股份有限公司___________</w:t>
      </w:r>
    </w:p>
    <w:p>
      <w:pPr>
        <w:numPr>
          <w:ilvl w:val="0"/>
          <w:numId w:val="1"/>
        </w:numPr>
        <w:ind w:firstLine="420" w:firstLineChars="200"/>
        <w:jc w:val="left"/>
        <w:rPr>
          <w:rFonts w:ascii="仿宋" w:hAnsi="仿宋" w:eastAsia="仿宋" w:cs="仿宋"/>
          <w:sz w:val="21"/>
          <w:szCs w:val="21"/>
        </w:rPr>
      </w:pPr>
      <w:r>
        <w:rPr>
          <w:rFonts w:hint="eastAsia" w:ascii="仿宋" w:hAnsi="仿宋" w:eastAsia="仿宋" w:cs="仿宋"/>
          <w:sz w:val="21"/>
          <w:szCs w:val="21"/>
        </w:rPr>
        <w:t>甲方自愿在乙方开立个人银行结算账户，并自觉遵守中国人民银行颁布的《储蓄管理条例》、《银行卡业务管理办法》、《人民币结算账户管理办法》等有关规定，向乙方提供符合《个人存款账户实名制规定》（中华人民共和国国务院令[第285号]）及其他相关规定所需的开户资料。如由他人代为开立个人银行账户，则代办人须向乙方提供本人身份证件及账户申请人身份证件和其他相关证明文件，并接受乙方审核。</w:t>
      </w:r>
    </w:p>
    <w:p>
      <w:pPr>
        <w:numPr>
          <w:ilvl w:val="0"/>
          <w:numId w:val="1"/>
        </w:numPr>
        <w:ind w:firstLine="420" w:firstLineChars="200"/>
        <w:jc w:val="left"/>
        <w:rPr>
          <w:rFonts w:ascii="仿宋" w:hAnsi="仿宋" w:eastAsia="仿宋" w:cs="仿宋"/>
          <w:sz w:val="21"/>
          <w:szCs w:val="21"/>
        </w:rPr>
      </w:pPr>
      <w:r>
        <w:rPr>
          <w:rFonts w:hint="eastAsia" w:ascii="仿宋" w:hAnsi="仿宋" w:eastAsia="仿宋" w:cs="仿宋"/>
          <w:sz w:val="21"/>
          <w:szCs w:val="21"/>
        </w:rPr>
        <w:t>根据中国人民银行有关个人银行结算账户分类管理的规定，本协议所称个人银行结算账户（不包括信用卡）划分为三类，即</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1 \* ROMAN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I</w:t>
      </w:r>
      <w:r>
        <w:rPr>
          <w:rFonts w:hint="eastAsia" w:ascii="仿宋" w:hAnsi="仿宋" w:eastAsia="仿宋" w:cs="仿宋"/>
          <w:sz w:val="21"/>
          <w:szCs w:val="21"/>
        </w:rPr>
        <w:fldChar w:fldCharType="end"/>
      </w:r>
      <w:r>
        <w:rPr>
          <w:rFonts w:hint="eastAsia" w:ascii="仿宋" w:hAnsi="仿宋" w:eastAsia="仿宋" w:cs="仿宋"/>
          <w:sz w:val="21"/>
          <w:szCs w:val="21"/>
        </w:rPr>
        <w:t>类银行账户、</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2 \* ROMAN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II</w:t>
      </w:r>
      <w:r>
        <w:rPr>
          <w:rFonts w:hint="eastAsia" w:ascii="仿宋" w:hAnsi="仿宋" w:eastAsia="仿宋" w:cs="仿宋"/>
          <w:sz w:val="21"/>
          <w:szCs w:val="21"/>
        </w:rPr>
        <w:fldChar w:fldCharType="end"/>
      </w:r>
      <w:r>
        <w:rPr>
          <w:rFonts w:hint="eastAsia" w:ascii="仿宋" w:hAnsi="仿宋" w:eastAsia="仿宋" w:cs="仿宋"/>
          <w:sz w:val="21"/>
          <w:szCs w:val="21"/>
        </w:rPr>
        <w:t>类银行账户和</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3 \* ROMAN \* MERGEFORMAT </w:instrText>
      </w:r>
      <w:r>
        <w:rPr>
          <w:rFonts w:hint="eastAsia" w:ascii="仿宋" w:hAnsi="仿宋" w:eastAsia="仿宋" w:cs="仿宋"/>
          <w:sz w:val="21"/>
          <w:szCs w:val="21"/>
        </w:rPr>
        <w:fldChar w:fldCharType="separate"/>
      </w:r>
      <w:r>
        <w:rPr>
          <w:rFonts w:hint="eastAsia" w:ascii="仿宋" w:hAnsi="仿宋" w:eastAsia="仿宋" w:cs="仿宋"/>
          <w:sz w:val="21"/>
          <w:szCs w:val="21"/>
        </w:rPr>
        <w:t>III</w:t>
      </w:r>
      <w:r>
        <w:rPr>
          <w:rFonts w:hint="eastAsia" w:ascii="仿宋" w:hAnsi="仿宋" w:eastAsia="仿宋" w:cs="仿宋"/>
          <w:sz w:val="21"/>
          <w:szCs w:val="21"/>
        </w:rPr>
        <w:fldChar w:fldCharType="end"/>
      </w:r>
      <w:r>
        <w:rPr>
          <w:rFonts w:hint="eastAsia" w:ascii="仿宋" w:hAnsi="仿宋" w:eastAsia="仿宋" w:cs="仿宋"/>
          <w:sz w:val="21"/>
          <w:szCs w:val="21"/>
        </w:rPr>
        <w:t>类银行账户，账户的开立、使用和撤销参照中国人民银行相关规定执行。</w:t>
      </w:r>
    </w:p>
    <w:p>
      <w:pPr>
        <w:numPr>
          <w:ilvl w:val="0"/>
          <w:numId w:val="1"/>
        </w:numPr>
        <w:ind w:left="0" w:leftChars="0" w:firstLine="422" w:firstLineChars="200"/>
        <w:jc w:val="left"/>
        <w:rPr>
          <w:rFonts w:hint="eastAsia" w:ascii="仿宋" w:hAnsi="仿宋" w:eastAsia="仿宋" w:cs="仿宋"/>
          <w:b/>
          <w:bCs/>
          <w:sz w:val="21"/>
          <w:szCs w:val="21"/>
        </w:rPr>
      </w:pPr>
      <w:r>
        <w:rPr>
          <w:rFonts w:hint="eastAsia" w:ascii="仿宋" w:hAnsi="仿宋" w:eastAsia="仿宋" w:cs="仿宋"/>
          <w:b/>
          <w:bCs/>
          <w:sz w:val="21"/>
          <w:szCs w:val="21"/>
        </w:rPr>
        <w:t>甲方及其代理人向乙方提供的身份证件应当真实、合法、有效，否则产生的一切纠纷及损失由甲方自行承担，乙方不承担任何责任。</w:t>
      </w:r>
    </w:p>
    <w:p>
      <w:pPr>
        <w:numPr>
          <w:ilvl w:val="0"/>
          <w:numId w:val="1"/>
        </w:numPr>
        <w:ind w:left="0" w:leftChars="0" w:firstLine="422" w:firstLineChars="200"/>
        <w:jc w:val="left"/>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eastAsia="zh-CN"/>
        </w:rPr>
        <w:t>甲方开立的个人银行结算账户三年未发生收付款业务（结息等非甲方主动发起的业务除外），未欠乙方债务且账户余额</w:t>
      </w:r>
      <w:r>
        <w:rPr>
          <w:rFonts w:hint="eastAsia" w:ascii="仿宋" w:hAnsi="仿宋" w:eastAsia="仿宋" w:cs="仿宋"/>
          <w:b/>
          <w:bCs/>
          <w:sz w:val="21"/>
          <w:szCs w:val="21"/>
          <w:highlight w:val="none"/>
          <w:lang w:val="en-US" w:eastAsia="zh-CN"/>
        </w:rPr>
        <w:t>50元以下的，乙方有权限制该账户</w:t>
      </w:r>
      <w:bookmarkStart w:id="2" w:name="_GoBack"/>
      <w:bookmarkEnd w:id="2"/>
      <w:r>
        <w:rPr>
          <w:rFonts w:hint="eastAsia" w:ascii="仿宋" w:hAnsi="仿宋" w:eastAsia="仿宋" w:cs="仿宋"/>
          <w:b/>
          <w:bCs/>
          <w:sz w:val="21"/>
          <w:szCs w:val="21"/>
          <w:highlight w:val="none"/>
          <w:lang w:val="en-US" w:eastAsia="zh-CN"/>
        </w:rPr>
        <w:t>的收付款业务。甲方个人银行结算账户自开户之日起6个月内无交易的，乙方有权暂停其非柜面业务。甲方需继续使用该账户及相关功能的，可持有效身份证件至柜面办理。</w:t>
      </w:r>
    </w:p>
    <w:p>
      <w:pPr>
        <w:ind w:firstLine="422" w:firstLineChars="200"/>
        <w:jc w:val="left"/>
        <w:rPr>
          <w:rFonts w:ascii="仿宋" w:hAnsi="仿宋" w:eastAsia="仿宋" w:cs="仿宋"/>
          <w:sz w:val="21"/>
          <w:szCs w:val="21"/>
        </w:rPr>
      </w:pPr>
      <w:r>
        <w:rPr>
          <w:rFonts w:hint="eastAsia" w:ascii="仿宋" w:hAnsi="仿宋" w:eastAsia="仿宋" w:cs="仿宋"/>
          <w:b/>
          <w:bCs/>
          <w:sz w:val="21"/>
          <w:szCs w:val="21"/>
          <w:lang w:eastAsia="zh-CN"/>
        </w:rPr>
        <w:t>五</w:t>
      </w:r>
      <w:r>
        <w:rPr>
          <w:rFonts w:hint="eastAsia" w:ascii="仿宋" w:hAnsi="仿宋" w:eastAsia="仿宋" w:cs="仿宋"/>
          <w:b/>
          <w:bCs/>
          <w:sz w:val="21"/>
          <w:szCs w:val="21"/>
        </w:rPr>
        <w:t>、甲方职业信息、通讯方式（地址或电话</w:t>
      </w:r>
      <w:r>
        <w:rPr>
          <w:rFonts w:hint="eastAsia" w:ascii="仿宋" w:hAnsi="仿宋" w:eastAsia="仿宋" w:cs="仿宋"/>
          <w:b/>
          <w:bCs/>
          <w:sz w:val="21"/>
          <w:szCs w:val="21"/>
          <w:highlight w:val="none"/>
        </w:rPr>
        <w:t>）、身份证有效期等个人重要资料发生变动，应及时到乙方办理变更手续，如未按规定办理，</w:t>
      </w:r>
      <w:r>
        <w:rPr>
          <w:rFonts w:hint="eastAsia" w:ascii="仿宋" w:hAnsi="仿宋" w:eastAsia="仿宋" w:cs="仿宋"/>
          <w:b/>
          <w:bCs/>
          <w:sz w:val="21"/>
          <w:szCs w:val="21"/>
          <w:highlight w:val="none"/>
          <w:lang w:eastAsia="zh-CN"/>
        </w:rPr>
        <w:t>乙方有权停止甲方账户的使用，</w:t>
      </w:r>
      <w:r>
        <w:rPr>
          <w:rFonts w:hint="eastAsia" w:ascii="仿宋" w:hAnsi="仿宋" w:eastAsia="仿宋" w:cs="仿宋"/>
          <w:b/>
          <w:bCs/>
          <w:sz w:val="21"/>
          <w:szCs w:val="21"/>
          <w:highlight w:val="none"/>
        </w:rPr>
        <w:t>由</w:t>
      </w:r>
      <w:r>
        <w:rPr>
          <w:rFonts w:hint="eastAsia" w:ascii="仿宋" w:hAnsi="仿宋" w:eastAsia="仿宋" w:cs="仿宋"/>
          <w:b/>
          <w:bCs/>
          <w:sz w:val="21"/>
          <w:szCs w:val="21"/>
        </w:rPr>
        <w:t>此产生的风险损失和法律责任由甲方承担。</w:t>
      </w:r>
      <w:r>
        <w:rPr>
          <w:rFonts w:hint="eastAsia" w:ascii="仿宋" w:hAnsi="仿宋" w:eastAsia="仿宋" w:cs="仿宋"/>
          <w:sz w:val="21"/>
          <w:szCs w:val="21"/>
        </w:rPr>
        <w:t>甲方在申请资料中填写的通讯地址和方式为甲乙双方所认可，任何书面通知只要发往以上地址，均视为已送达。甲方通讯地址和方式如有变动，应于十日内通知乙方。</w:t>
      </w:r>
    </w:p>
    <w:p>
      <w:pPr>
        <w:ind w:firstLine="420" w:firstLineChars="200"/>
        <w:jc w:val="left"/>
        <w:rPr>
          <w:rFonts w:ascii="仿宋" w:hAnsi="仿宋" w:eastAsia="仿宋" w:cs="仿宋"/>
          <w:sz w:val="21"/>
          <w:szCs w:val="21"/>
        </w:rPr>
      </w:pPr>
      <w:r>
        <w:rPr>
          <w:rFonts w:hint="eastAsia" w:ascii="仿宋" w:hAnsi="仿宋" w:eastAsia="仿宋" w:cs="仿宋"/>
          <w:sz w:val="21"/>
          <w:szCs w:val="21"/>
          <w:lang w:eastAsia="zh-CN"/>
        </w:rPr>
        <w:t>六</w:t>
      </w:r>
      <w:r>
        <w:rPr>
          <w:rFonts w:hint="eastAsia" w:ascii="仿宋" w:hAnsi="仿宋" w:eastAsia="仿宋" w:cs="仿宋"/>
          <w:sz w:val="21"/>
          <w:szCs w:val="21"/>
        </w:rPr>
        <w:t>、乙方承诺妥善保管甲方提交的身份证明文件，除用于开户审查外，不得用于任何其他用途。</w:t>
      </w:r>
    </w:p>
    <w:p>
      <w:pPr>
        <w:rPr>
          <w:rFonts w:ascii="仿宋" w:hAnsi="仿宋" w:eastAsia="仿宋" w:cs="仿宋"/>
          <w:sz w:val="21"/>
          <w:szCs w:val="21"/>
        </w:rPr>
      </w:pPr>
      <w:r>
        <w:rPr>
          <w:rFonts w:hint="eastAsia" w:ascii="仿宋" w:hAnsi="仿宋" w:eastAsia="仿宋" w:cs="仿宋"/>
          <w:sz w:val="21"/>
          <w:szCs w:val="21"/>
          <w:lang w:eastAsia="zh-CN"/>
        </w:rPr>
        <w:t>　　七</w:t>
      </w:r>
      <w:r>
        <w:rPr>
          <w:rFonts w:hint="eastAsia" w:ascii="仿宋" w:hAnsi="仿宋" w:eastAsia="仿宋" w:cs="仿宋"/>
          <w:sz w:val="21"/>
          <w:szCs w:val="21"/>
        </w:rPr>
        <w:t>、甲方同意乙方对个人账户的业务服务收取服务费用，具体收费内容和收费标准以乙方对外通告为准。</w:t>
      </w:r>
      <w:r>
        <w:rPr>
          <w:rFonts w:hint="eastAsia" w:ascii="仿宋" w:hAnsi="仿宋" w:eastAsia="仿宋" w:cs="仿宋"/>
          <w:bCs/>
          <w:sz w:val="21"/>
          <w:szCs w:val="21"/>
        </w:rPr>
        <w:t>详见</w:t>
      </w:r>
      <w:r>
        <w:rPr>
          <w:rFonts w:hint="eastAsia" w:ascii="仿宋" w:hAnsi="仿宋" w:eastAsia="仿宋" w:cs="仿宋"/>
          <w:bCs/>
          <w:sz w:val="21"/>
          <w:szCs w:val="21"/>
          <w:lang w:eastAsia="zh-CN"/>
        </w:rPr>
        <w:t>重庆九龙坡民泰村镇银行</w:t>
      </w:r>
      <w:r>
        <w:rPr>
          <w:rFonts w:hint="eastAsia" w:ascii="仿宋" w:hAnsi="仿宋" w:eastAsia="仿宋" w:cs="仿宋"/>
          <w:bCs/>
          <w:sz w:val="21"/>
          <w:szCs w:val="21"/>
        </w:rPr>
        <w:t>网站</w:t>
      </w:r>
      <w:r>
        <w:rPr>
          <w:rFonts w:hint="eastAsia" w:ascii="仿宋" w:hAnsi="仿宋" w:eastAsia="仿宋" w:cs="仿宋"/>
          <w:bCs/>
          <w:sz w:val="21"/>
          <w:szCs w:val="21"/>
          <w:lang w:eastAsia="zh-CN"/>
        </w:rPr>
        <w:t>http://www.jlpmtrb.com.cn</w:t>
      </w:r>
      <w:r>
        <w:rPr>
          <w:rFonts w:hint="eastAsia" w:ascii="仿宋" w:hAnsi="仿宋" w:eastAsia="仿宋" w:cs="仿宋"/>
          <w:bCs/>
          <w:sz w:val="21"/>
          <w:szCs w:val="21"/>
        </w:rPr>
        <w:t>业务收费标准公布。</w:t>
      </w:r>
    </w:p>
    <w:p>
      <w:pPr>
        <w:ind w:firstLine="560"/>
        <w:rPr>
          <w:rFonts w:ascii="仿宋" w:hAnsi="仿宋" w:eastAsia="仿宋" w:cs="仿宋"/>
          <w:bCs/>
          <w:sz w:val="21"/>
          <w:szCs w:val="21"/>
        </w:rPr>
      </w:pPr>
      <w:r>
        <w:rPr>
          <w:rFonts w:hint="eastAsia" w:ascii="仿宋" w:hAnsi="仿宋" w:eastAsia="仿宋" w:cs="仿宋"/>
          <w:sz w:val="21"/>
          <w:szCs w:val="21"/>
          <w:lang w:eastAsia="zh-CN"/>
        </w:rPr>
        <w:t>八</w:t>
      </w:r>
      <w:r>
        <w:rPr>
          <w:rFonts w:hint="eastAsia" w:ascii="仿宋" w:hAnsi="仿宋" w:eastAsia="仿宋" w:cs="仿宋"/>
          <w:sz w:val="21"/>
          <w:szCs w:val="21"/>
        </w:rPr>
        <w:t>、甲方同意将银行卡/折的人民币活期账户自动设置为个人结算账户，并保证其个人结算账户的开立、使用和撤销遵守中国人民银行颁布的《人民币结算账户管理办法》及金融监管机构有关账户管理的其他规定。甲方可通过乙方营业网点、客户服务电话（</w:t>
      </w:r>
      <w:r>
        <w:rPr>
          <w:rFonts w:hint="eastAsia" w:ascii="仿宋" w:hAnsi="仿宋" w:eastAsia="仿宋" w:cs="仿宋"/>
          <w:sz w:val="21"/>
          <w:szCs w:val="21"/>
          <w:lang w:eastAsia="zh-CN"/>
        </w:rPr>
        <w:t>4008596521</w:t>
      </w:r>
      <w:r>
        <w:rPr>
          <w:rFonts w:hint="eastAsia" w:ascii="仿宋" w:hAnsi="仿宋" w:eastAsia="仿宋" w:cs="仿宋"/>
          <w:sz w:val="21"/>
          <w:szCs w:val="21"/>
        </w:rPr>
        <w:t>）、网上银行、手机银行、自助</w:t>
      </w:r>
      <w:bookmarkStart w:id="0" w:name="OLE_LINK2"/>
      <w:r>
        <w:rPr>
          <w:rFonts w:hint="eastAsia" w:ascii="仿宋" w:hAnsi="仿宋" w:eastAsia="仿宋" w:cs="仿宋"/>
          <w:sz w:val="21"/>
          <w:szCs w:val="21"/>
        </w:rPr>
        <w:t>终端</w:t>
      </w:r>
      <w:bookmarkEnd w:id="0"/>
      <w:r>
        <w:rPr>
          <w:rFonts w:hint="eastAsia" w:ascii="仿宋" w:hAnsi="仿宋" w:eastAsia="仿宋" w:cs="仿宋"/>
          <w:sz w:val="21"/>
          <w:szCs w:val="21"/>
        </w:rPr>
        <w:t>等渠道了解其个人结算账户的账务变动情况。</w:t>
      </w:r>
      <w:r>
        <w:rPr>
          <w:rFonts w:hint="eastAsia" w:ascii="仿宋" w:hAnsi="仿宋" w:eastAsia="仿宋" w:cs="仿宋"/>
          <w:bCs/>
          <w:sz w:val="21"/>
          <w:szCs w:val="21"/>
        </w:rPr>
        <w:t>甲方对境内交易账务变动情况有异议的，须于交易发生后40天内向乙方提出查询更正申请；对境外交易账务变动情况有异议的，须于记账日后60天内向乙方提出查询更正申请。</w:t>
      </w:r>
    </w:p>
    <w:p>
      <w:pPr>
        <w:ind w:firstLine="420" w:firstLineChars="200"/>
        <w:jc w:val="left"/>
        <w:rPr>
          <w:rFonts w:ascii="仿宋" w:hAnsi="仿宋" w:eastAsia="仿宋" w:cs="仿宋"/>
          <w:sz w:val="21"/>
          <w:szCs w:val="21"/>
        </w:rPr>
      </w:pPr>
      <w:r>
        <w:rPr>
          <w:rFonts w:hint="eastAsia" w:ascii="仿宋" w:hAnsi="仿宋" w:eastAsia="仿宋" w:cs="仿宋"/>
          <w:sz w:val="21"/>
          <w:szCs w:val="21"/>
          <w:lang w:eastAsia="zh-CN"/>
        </w:rPr>
        <w:t>九</w:t>
      </w:r>
      <w:r>
        <w:rPr>
          <w:rFonts w:hint="eastAsia" w:ascii="仿宋" w:hAnsi="仿宋" w:eastAsia="仿宋" w:cs="仿宋"/>
          <w:sz w:val="21"/>
          <w:szCs w:val="21"/>
        </w:rPr>
        <w:t>、个人结算账户内的存款按照中国人民银行规定的同期同档存款利率、计结息办法及乙方关于个人存款的相关规定计付利息。</w:t>
      </w:r>
    </w:p>
    <w:p>
      <w:pPr>
        <w:ind w:firstLine="427"/>
        <w:rPr>
          <w:rFonts w:hint="eastAsia" w:ascii="仿宋" w:hAnsi="仿宋" w:eastAsia="仿宋" w:cs="仿宋"/>
          <w:b/>
          <w:bCs/>
          <w:sz w:val="21"/>
          <w:szCs w:val="21"/>
          <w:highlight w:val="none"/>
        </w:rPr>
      </w:pPr>
      <w:r>
        <w:rPr>
          <w:rFonts w:hint="eastAsia" w:ascii="仿宋" w:hAnsi="仿宋" w:eastAsia="仿宋" w:cs="仿宋"/>
          <w:b/>
          <w:bCs/>
          <w:sz w:val="21"/>
          <w:szCs w:val="21"/>
          <w:lang w:eastAsia="zh-CN"/>
        </w:rPr>
        <w:t>十</w:t>
      </w:r>
      <w:r>
        <w:rPr>
          <w:rFonts w:hint="eastAsia" w:ascii="仿宋" w:hAnsi="仿宋" w:eastAsia="仿宋" w:cs="仿宋"/>
          <w:b/>
          <w:bCs/>
          <w:sz w:val="21"/>
          <w:szCs w:val="21"/>
        </w:rPr>
        <w:t>、甲方应妥善保管账号、密码等资料，避免使用易破译的数字作为密码，</w:t>
      </w:r>
      <w:r>
        <w:rPr>
          <w:rFonts w:hint="eastAsia" w:ascii="仿宋" w:hAnsi="仿宋" w:eastAsia="仿宋" w:cs="仿宋"/>
          <w:b/>
          <w:bCs/>
          <w:sz w:val="21"/>
          <w:szCs w:val="21"/>
          <w:highlight w:val="none"/>
        </w:rPr>
        <w:t>因甲方过失或故意行为导致账户、密码等资料泄露给第三人的，由此造成的损失由甲方自行承担。</w:t>
      </w:r>
    </w:p>
    <w:p>
      <w:pPr>
        <w:ind w:firstLine="427"/>
        <w:rPr>
          <w:rFonts w:hint="eastAsia" w:ascii="仿宋" w:hAnsi="仿宋" w:eastAsia="仿宋" w:cs="仿宋"/>
          <w:b/>
          <w:bCs/>
          <w:sz w:val="21"/>
          <w:szCs w:val="21"/>
          <w:highlight w:val="none"/>
          <w:lang w:val="en-US" w:eastAsia="zh-CN"/>
        </w:rPr>
      </w:pPr>
      <w:r>
        <w:rPr>
          <w:rFonts w:hint="eastAsia" w:ascii="仿宋" w:hAnsi="仿宋" w:eastAsia="仿宋" w:cs="仿宋"/>
          <w:b/>
          <w:bCs/>
          <w:i w:val="0"/>
          <w:iCs w:val="0"/>
          <w:sz w:val="21"/>
          <w:szCs w:val="21"/>
          <w:highlight w:val="none"/>
          <w:lang w:val="en-US" w:eastAsia="zh-CN"/>
        </w:rPr>
        <w:t>十一</w:t>
      </w:r>
      <w:r>
        <w:rPr>
          <w:rFonts w:hint="eastAsia" w:ascii="仿宋" w:hAnsi="仿宋" w:eastAsia="仿宋" w:cs="仿宋"/>
          <w:b/>
          <w:bCs/>
          <w:i/>
          <w:iCs/>
          <w:sz w:val="21"/>
          <w:szCs w:val="21"/>
          <w:highlight w:val="none"/>
          <w:lang w:val="en-US" w:eastAsia="zh-CN"/>
        </w:rPr>
        <w:t>、</w:t>
      </w:r>
      <w:r>
        <w:rPr>
          <w:rFonts w:hint="eastAsia" w:ascii="仿宋" w:hAnsi="仿宋" w:eastAsia="仿宋" w:cs="仿宋"/>
          <w:b/>
          <w:bCs/>
          <w:sz w:val="21"/>
          <w:szCs w:val="21"/>
          <w:highlight w:val="none"/>
          <w:lang w:val="en-US" w:eastAsia="zh-CN"/>
        </w:rPr>
        <w:t>甲方开立的个人结算账户签约个人手机银行后，可在乙方营业网点、自助终端上使用扫码办理存款等结算业务。因甲方过失或故意行为导致二维码等交易信息泄露而产生的风险、损失及其他后果均由甲方自行承担。</w:t>
      </w:r>
    </w:p>
    <w:p>
      <w:pPr>
        <w:ind w:firstLine="427"/>
        <w:rPr>
          <w:rFonts w:hint="eastAsia" w:ascii="仿宋" w:hAnsi="仿宋" w:eastAsia="仿宋" w:cs="仿宋"/>
          <w:b/>
          <w:bCs/>
          <w:sz w:val="21"/>
          <w:szCs w:val="21"/>
          <w:highlight w:val="none"/>
          <w:lang w:val="en-US" w:eastAsia="zh-CN"/>
        </w:rPr>
      </w:pPr>
      <w:r>
        <w:rPr>
          <w:rFonts w:hint="eastAsia" w:ascii="仿宋" w:hAnsi="仿宋" w:eastAsia="仿宋" w:cs="Times New Roman"/>
          <w:b/>
          <w:bCs/>
          <w:color w:val="10000A"/>
          <w:kern w:val="0"/>
          <w:sz w:val="21"/>
          <w:szCs w:val="21"/>
          <w:highlight w:val="none"/>
          <w:lang w:val="en-US" w:eastAsia="zh-CN"/>
        </w:rPr>
        <w:t>十二、乙方将根据甲方身份核实程度、账户风险等级等要素为其设置非柜面渠道支付额度，甲方承诺自觉遵守支付结算制度，合理使用非柜面渠道办理相关业务，对非柜面额度开通后未足额使用的，乙方有权根据甲方的实际交易情况下调其非柜面额度。</w:t>
      </w:r>
    </w:p>
    <w:p>
      <w:pPr>
        <w:ind w:firstLine="560"/>
        <w:rPr>
          <w:rFonts w:ascii="仿宋" w:hAnsi="仿宋" w:eastAsia="仿宋" w:cs="仿宋"/>
          <w:sz w:val="21"/>
          <w:szCs w:val="21"/>
        </w:rPr>
      </w:pPr>
      <w:r>
        <w:rPr>
          <w:rFonts w:hint="eastAsia" w:ascii="仿宋" w:hAnsi="仿宋" w:eastAsia="仿宋" w:cs="仿宋"/>
          <w:sz w:val="21"/>
          <w:szCs w:val="21"/>
        </w:rPr>
        <w:t>十</w:t>
      </w:r>
      <w:r>
        <w:rPr>
          <w:rFonts w:hint="eastAsia" w:ascii="仿宋" w:hAnsi="仿宋" w:eastAsia="仿宋" w:cs="仿宋"/>
          <w:sz w:val="21"/>
          <w:szCs w:val="21"/>
          <w:lang w:eastAsia="zh-CN"/>
        </w:rPr>
        <w:t>三</w:t>
      </w:r>
      <w:r>
        <w:rPr>
          <w:rFonts w:hint="eastAsia" w:ascii="仿宋" w:hAnsi="仿宋" w:eastAsia="仿宋" w:cs="仿宋"/>
          <w:sz w:val="21"/>
          <w:szCs w:val="21"/>
        </w:rPr>
        <w:t>、银行卡、各类存折遗失、被盗或密码遗忘、泄漏的，甲方应及时向乙方申请挂失，挂失自相关手续办妥后即时生效，甲方不承担挂失有效期内（含口头挂失）账户被冒用所造成的资金损失，挂失时间及金额以银行系统记录为准。甲方在申请挂失前（含口头挂失）账户资金被支取的，由甲方自行承担相关责任。</w:t>
      </w:r>
    </w:p>
    <w:p>
      <w:pPr>
        <w:rPr>
          <w:rFonts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十</w:t>
      </w:r>
      <w:r>
        <w:rPr>
          <w:rFonts w:hint="eastAsia" w:ascii="仿宋" w:hAnsi="仿宋" w:eastAsia="仿宋" w:cs="仿宋"/>
          <w:sz w:val="21"/>
          <w:szCs w:val="21"/>
          <w:lang w:eastAsia="zh-CN"/>
        </w:rPr>
        <w:t>四</w:t>
      </w:r>
      <w:r>
        <w:rPr>
          <w:rFonts w:hint="eastAsia" w:ascii="仿宋" w:hAnsi="仿宋" w:eastAsia="仿宋" w:cs="仿宋"/>
          <w:sz w:val="21"/>
          <w:szCs w:val="21"/>
        </w:rPr>
        <w:t>、甲方进行口头挂失时，乙方核对相关信息无误后对账户进行止付。口头挂失的有效期为五天。甲方须在口头挂失有效期内到乙方指定营业网点补办正式挂失手续，否则有效期满后口头挂失自动失效，由此造成的损失由甲方负责。</w:t>
      </w:r>
    </w:p>
    <w:p>
      <w:pPr>
        <w:rPr>
          <w:rFonts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十</w:t>
      </w:r>
      <w:r>
        <w:rPr>
          <w:rFonts w:hint="eastAsia" w:ascii="仿宋" w:hAnsi="仿宋" w:eastAsia="仿宋" w:cs="仿宋"/>
          <w:sz w:val="21"/>
          <w:szCs w:val="21"/>
          <w:lang w:eastAsia="zh-CN"/>
        </w:rPr>
        <w:t>五</w:t>
      </w:r>
      <w:r>
        <w:rPr>
          <w:rFonts w:hint="eastAsia" w:ascii="仿宋" w:hAnsi="仿宋" w:eastAsia="仿宋" w:cs="仿宋"/>
          <w:sz w:val="21"/>
          <w:szCs w:val="21"/>
        </w:rPr>
        <w:t>、甲方办理银行卡/折换卡/折业务后，无论卡/折号是否变更，均不影响原债务责任的承担，部分签约功能可以自动转移至新卡/折内，对于不能自动转移的签约功能，甲方应及时到原签约机构办理变更手续。</w:t>
      </w:r>
    </w:p>
    <w:p>
      <w:pPr>
        <w:rPr>
          <w:rFonts w:ascii="仿宋" w:hAnsi="仿宋" w:eastAsia="仿宋" w:cs="仿宋"/>
          <w:b/>
          <w:bCs/>
          <w:sz w:val="21"/>
          <w:szCs w:val="21"/>
        </w:rPr>
      </w:pPr>
      <w:r>
        <w:rPr>
          <w:rFonts w:hint="eastAsia" w:ascii="仿宋" w:hAnsi="仿宋" w:eastAsia="仿宋" w:cs="仿宋"/>
          <w:b/>
          <w:bCs/>
          <w:sz w:val="21"/>
          <w:szCs w:val="21"/>
          <w:lang w:eastAsia="zh-CN"/>
        </w:rPr>
        <w:t>　　</w:t>
      </w:r>
      <w:r>
        <w:rPr>
          <w:rFonts w:hint="eastAsia" w:ascii="仿宋" w:hAnsi="仿宋" w:eastAsia="仿宋" w:cs="仿宋"/>
          <w:b/>
          <w:bCs/>
          <w:sz w:val="21"/>
          <w:szCs w:val="21"/>
        </w:rPr>
        <w:t>十</w:t>
      </w:r>
      <w:r>
        <w:rPr>
          <w:rFonts w:hint="eastAsia" w:ascii="仿宋" w:hAnsi="仿宋" w:eastAsia="仿宋" w:cs="仿宋"/>
          <w:b/>
          <w:bCs/>
          <w:sz w:val="21"/>
          <w:szCs w:val="21"/>
          <w:lang w:eastAsia="zh-CN"/>
        </w:rPr>
        <w:t>六</w:t>
      </w:r>
      <w:r>
        <w:rPr>
          <w:rFonts w:hint="eastAsia" w:ascii="仿宋" w:hAnsi="仿宋" w:eastAsia="仿宋" w:cs="仿宋"/>
          <w:b/>
          <w:bCs/>
          <w:sz w:val="21"/>
          <w:szCs w:val="21"/>
        </w:rPr>
        <w:t>、甲方不得将本人账号转借给他人使用，不得出租、出借、出售、购买账户，不得利用在乙方开立的账户进行偷逃税款、逃废债务、套取现金、洗钱及其他违法犯罪活动。因甲方本人资料泄漏或将本人账户转借他人、违法或违规使用产生的风险、损失</w:t>
      </w:r>
      <w:bookmarkStart w:id="1" w:name="OLE_LINK1"/>
      <w:r>
        <w:rPr>
          <w:rFonts w:hint="eastAsia" w:ascii="仿宋" w:hAnsi="仿宋" w:eastAsia="仿宋" w:cs="仿宋"/>
          <w:b/>
          <w:bCs/>
          <w:sz w:val="21"/>
          <w:szCs w:val="21"/>
        </w:rPr>
        <w:t>及其他后果均由甲方自行承担。</w:t>
      </w:r>
      <w:bookmarkEnd w:id="1"/>
    </w:p>
    <w:p>
      <w:pPr>
        <w:rPr>
          <w:rFonts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十</w:t>
      </w:r>
      <w:r>
        <w:rPr>
          <w:rFonts w:hint="eastAsia" w:ascii="仿宋" w:hAnsi="仿宋" w:eastAsia="仿宋" w:cs="仿宋"/>
          <w:sz w:val="21"/>
          <w:szCs w:val="21"/>
          <w:lang w:eastAsia="zh-CN"/>
        </w:rPr>
        <w:t>七</w:t>
      </w:r>
      <w:r>
        <w:rPr>
          <w:rFonts w:hint="eastAsia" w:ascii="仿宋" w:hAnsi="仿宋" w:eastAsia="仿宋" w:cs="仿宋"/>
          <w:sz w:val="21"/>
          <w:szCs w:val="21"/>
          <w:lang w:val="en-US" w:eastAsia="zh-CN"/>
        </w:rPr>
        <w:t>、</w:t>
      </w:r>
      <w:r>
        <w:rPr>
          <w:rFonts w:hint="eastAsia" w:ascii="仿宋" w:hAnsi="仿宋" w:eastAsia="仿宋" w:cs="仿宋"/>
          <w:sz w:val="21"/>
          <w:szCs w:val="21"/>
        </w:rPr>
        <w:t>甲方因银行卡/折到期、毁损等原因需要换领新卡/折的，可持银行卡/折及本人有效身份证件到乙方指定营业网点办理补卡/折手续。</w:t>
      </w:r>
    </w:p>
    <w:p>
      <w:pPr>
        <w:jc w:val="left"/>
        <w:rPr>
          <w:rFonts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十</w:t>
      </w:r>
      <w:r>
        <w:rPr>
          <w:rFonts w:hint="eastAsia" w:ascii="仿宋" w:hAnsi="仿宋" w:eastAsia="仿宋" w:cs="仿宋"/>
          <w:sz w:val="21"/>
          <w:szCs w:val="21"/>
          <w:lang w:eastAsia="zh-CN"/>
        </w:rPr>
        <w:t>八</w:t>
      </w:r>
      <w:r>
        <w:rPr>
          <w:rFonts w:hint="eastAsia" w:ascii="仿宋" w:hAnsi="仿宋" w:eastAsia="仿宋" w:cs="仿宋"/>
          <w:sz w:val="21"/>
          <w:szCs w:val="21"/>
        </w:rPr>
        <w:t>、无民事行为能力或限制民事行为能力的自然人，在使用借记卡/折时，应征得其监护人同意，且乙方有权认为此行为已事先取得其监护人的同意；在进行银行卡/折申领、挂失、换卡/折等特殊业务时，应由其监护人代办。此类甲方的用卡/折行为及交易责任由甲方及其监护人承担。</w:t>
      </w:r>
    </w:p>
    <w:p>
      <w:pPr>
        <w:rPr>
          <w:rFonts w:ascii="仿宋" w:hAnsi="仿宋" w:eastAsia="仿宋" w:cs="仿宋"/>
          <w:b/>
          <w:bCs/>
          <w:sz w:val="21"/>
          <w:szCs w:val="21"/>
        </w:rPr>
      </w:pPr>
      <w:r>
        <w:rPr>
          <w:rFonts w:hint="eastAsia" w:ascii="仿宋" w:hAnsi="仿宋" w:eastAsia="仿宋" w:cs="仿宋"/>
          <w:b/>
          <w:bCs/>
          <w:sz w:val="21"/>
          <w:szCs w:val="21"/>
          <w:lang w:eastAsia="zh-CN"/>
        </w:rPr>
        <w:t>　　</w:t>
      </w:r>
      <w:r>
        <w:rPr>
          <w:rFonts w:hint="eastAsia" w:ascii="仿宋" w:hAnsi="仿宋" w:eastAsia="仿宋" w:cs="仿宋"/>
          <w:b/>
          <w:bCs/>
          <w:sz w:val="21"/>
          <w:szCs w:val="21"/>
        </w:rPr>
        <w:t>十</w:t>
      </w:r>
      <w:r>
        <w:rPr>
          <w:rFonts w:hint="eastAsia" w:ascii="仿宋" w:hAnsi="仿宋" w:eastAsia="仿宋" w:cs="仿宋"/>
          <w:b/>
          <w:bCs/>
          <w:sz w:val="21"/>
          <w:szCs w:val="21"/>
          <w:lang w:eastAsia="zh-CN"/>
        </w:rPr>
        <w:t>九</w:t>
      </w:r>
      <w:r>
        <w:rPr>
          <w:rFonts w:hint="eastAsia" w:ascii="仿宋" w:hAnsi="仿宋" w:eastAsia="仿宋" w:cs="仿宋"/>
          <w:b/>
          <w:bCs/>
          <w:sz w:val="21"/>
          <w:szCs w:val="21"/>
        </w:rPr>
        <w:t>、为保障甲方账户资金安全，乙方在发现甲方的账户存在被他人冒用、参与赌博资金结算等使用风险时，有权暂时对该账户采取限制交易的措施。若甲方在使用账户过程中有不遵守本协议规定、损害乙方利益行为或其他违规、违法行为的，乙方有权限制其账户交易或终止账户交易。</w:t>
      </w:r>
    </w:p>
    <w:p>
      <w:pPr>
        <w:rPr>
          <w:rFonts w:ascii="仿宋" w:hAnsi="仿宋" w:eastAsia="仿宋" w:cs="仿宋"/>
          <w:sz w:val="21"/>
          <w:szCs w:val="21"/>
        </w:rPr>
      </w:pPr>
      <w:r>
        <w:rPr>
          <w:rFonts w:hint="eastAsia" w:ascii="仿宋" w:hAnsi="仿宋" w:eastAsia="仿宋" w:cs="仿宋"/>
          <w:sz w:val="21"/>
          <w:szCs w:val="21"/>
          <w:lang w:eastAsia="zh-CN"/>
        </w:rPr>
        <w:t>　　二十</w:t>
      </w:r>
      <w:r>
        <w:rPr>
          <w:rFonts w:hint="eastAsia" w:ascii="仿宋" w:hAnsi="仿宋" w:eastAsia="仿宋" w:cs="仿宋"/>
          <w:sz w:val="21"/>
          <w:szCs w:val="21"/>
        </w:rPr>
        <w:t>、乙方有权依照法律的规定协助国家司法机关或其他有权机关对甲方的账户进行查询、冻结和扣划。</w:t>
      </w:r>
    </w:p>
    <w:p>
      <w:pPr>
        <w:ind w:firstLine="420"/>
        <w:rPr>
          <w:rFonts w:hint="eastAsia" w:ascii="仿宋" w:hAnsi="仿宋" w:eastAsia="仿宋" w:cs="仿宋"/>
          <w:sz w:val="21"/>
          <w:szCs w:val="21"/>
        </w:rPr>
      </w:pPr>
      <w:r>
        <w:rPr>
          <w:rFonts w:hint="eastAsia" w:ascii="仿宋" w:hAnsi="仿宋" w:eastAsia="仿宋" w:cs="仿宋"/>
          <w:sz w:val="21"/>
          <w:szCs w:val="21"/>
          <w:lang w:val="en-US" w:eastAsia="zh-CN"/>
        </w:rPr>
        <w:t>二十一</w:t>
      </w:r>
      <w:r>
        <w:rPr>
          <w:rFonts w:hint="eastAsia" w:ascii="仿宋" w:hAnsi="仿宋" w:eastAsia="仿宋" w:cs="仿宋"/>
          <w:sz w:val="21"/>
          <w:szCs w:val="21"/>
        </w:rPr>
        <w:t>、因不可抗力或供电、通讯等客观原因导致甲方账户不能正常使用的，乙方将视情况协助甲方解决或提供必要的帮助，但不承担相关责任。对于在交易过程中，因暂时的网络通讯故障或其他原因造成的错账现象，乙方有权根据实际交易情况进行账务处理。</w:t>
      </w:r>
    </w:p>
    <w:p>
      <w:pPr>
        <w:ind w:firstLine="420"/>
        <w:rPr>
          <w:rFonts w:ascii="仿宋" w:hAnsi="仿宋" w:eastAsia="仿宋" w:cs="仿宋"/>
          <w:sz w:val="21"/>
          <w:szCs w:val="21"/>
        </w:rPr>
      </w:pPr>
      <w:r>
        <w:rPr>
          <w:rFonts w:hint="eastAsia" w:ascii="仿宋" w:hAnsi="仿宋" w:eastAsia="仿宋" w:cs="仿宋"/>
          <w:sz w:val="21"/>
          <w:szCs w:val="21"/>
          <w:lang w:eastAsia="zh-CN"/>
        </w:rPr>
        <w:t>二十二</w:t>
      </w:r>
      <w:r>
        <w:rPr>
          <w:rFonts w:hint="eastAsia" w:ascii="仿宋" w:hAnsi="仿宋" w:eastAsia="仿宋" w:cs="仿宋"/>
          <w:sz w:val="21"/>
          <w:szCs w:val="21"/>
        </w:rPr>
        <w:t>、本协议未尽事宜均依据中华人民共和国法律、行政法规、中国人民银行及银行业监督机关的有关规章、政策规定及金融业的行业惯例办理。甲乙双方在履行合约时发生的争议，由双方协商处理；协商不成，任何一方可以向乙方所在地人民法院起诉。在诉讼期间，本协议不涉及争议部分的条款仍须履行。</w:t>
      </w:r>
    </w:p>
    <w:p>
      <w:pPr>
        <w:rPr>
          <w:rFonts w:ascii="仿宋" w:hAnsi="仿宋" w:eastAsia="仿宋" w:cs="仿宋"/>
          <w:b/>
          <w:bCs/>
          <w:sz w:val="21"/>
          <w:szCs w:val="21"/>
        </w:rPr>
      </w:pPr>
      <w:r>
        <w:rPr>
          <w:rFonts w:hint="eastAsia" w:ascii="仿宋" w:hAnsi="仿宋" w:eastAsia="仿宋" w:cs="仿宋"/>
          <w:b/>
          <w:bCs/>
          <w:sz w:val="21"/>
          <w:szCs w:val="21"/>
          <w:lang w:eastAsia="zh-CN"/>
        </w:rPr>
        <w:t>　　</w:t>
      </w:r>
      <w:r>
        <w:rPr>
          <w:rFonts w:hint="eastAsia" w:ascii="仿宋" w:hAnsi="仿宋" w:eastAsia="仿宋" w:cs="仿宋"/>
          <w:b/>
          <w:bCs/>
          <w:sz w:val="21"/>
          <w:szCs w:val="21"/>
        </w:rPr>
        <w:t>二十</w:t>
      </w:r>
      <w:r>
        <w:rPr>
          <w:rFonts w:hint="eastAsia" w:ascii="仿宋" w:hAnsi="仿宋" w:eastAsia="仿宋" w:cs="仿宋"/>
          <w:b/>
          <w:bCs/>
          <w:sz w:val="21"/>
          <w:szCs w:val="21"/>
          <w:lang w:eastAsia="zh-CN"/>
        </w:rPr>
        <w:t>三</w:t>
      </w:r>
      <w:r>
        <w:rPr>
          <w:rFonts w:hint="eastAsia" w:ascii="仿宋" w:hAnsi="仿宋" w:eastAsia="仿宋" w:cs="仿宋"/>
          <w:b/>
          <w:bCs/>
          <w:sz w:val="21"/>
          <w:szCs w:val="21"/>
        </w:rPr>
        <w:t>、乙方若对协议内容、服务功能、收费项目或标准等进行调整，须对外公告，无需另行通知甲方。如甲方不同意修改内容，可在公告规定期限内按照规定进行销户，继续使用的，视为甲方同意有关变更。</w:t>
      </w:r>
    </w:p>
    <w:p>
      <w:pPr>
        <w:rPr>
          <w:rFonts w:ascii="仿宋" w:hAnsi="仿宋" w:eastAsia="仿宋" w:cs="仿宋"/>
          <w:sz w:val="21"/>
          <w:szCs w:val="21"/>
        </w:rPr>
      </w:pPr>
      <w:r>
        <w:rPr>
          <w:rFonts w:hint="eastAsia" w:ascii="仿宋" w:hAnsi="仿宋" w:eastAsia="仿宋" w:cs="仿宋"/>
          <w:sz w:val="21"/>
          <w:szCs w:val="21"/>
          <w:lang w:eastAsia="zh-CN"/>
        </w:rPr>
        <w:t>　　</w:t>
      </w:r>
      <w:r>
        <w:rPr>
          <w:rFonts w:hint="eastAsia" w:ascii="仿宋" w:hAnsi="仿宋" w:eastAsia="仿宋" w:cs="仿宋"/>
          <w:sz w:val="21"/>
          <w:szCs w:val="21"/>
        </w:rPr>
        <w:t>二十</w:t>
      </w:r>
      <w:r>
        <w:rPr>
          <w:rFonts w:hint="eastAsia" w:ascii="仿宋" w:hAnsi="仿宋" w:eastAsia="仿宋" w:cs="仿宋"/>
          <w:sz w:val="21"/>
          <w:szCs w:val="21"/>
          <w:lang w:eastAsia="zh-CN"/>
        </w:rPr>
        <w:t>四</w:t>
      </w:r>
      <w:r>
        <w:rPr>
          <w:rFonts w:hint="eastAsia" w:ascii="仿宋" w:hAnsi="仿宋" w:eastAsia="仿宋" w:cs="仿宋"/>
          <w:sz w:val="21"/>
          <w:szCs w:val="21"/>
        </w:rPr>
        <w:t>、本协议自双方签署之日起生效，自甲方在乙方开立的个人银行结算账户销户之日起终止。</w:t>
      </w:r>
    </w:p>
    <w:p>
      <w:pPr>
        <w:rPr>
          <w:rFonts w:hint="eastAsia" w:ascii="仿宋" w:hAnsi="仿宋" w:eastAsia="仿宋" w:cs="仿宋"/>
          <w:sz w:val="21"/>
          <w:szCs w:val="21"/>
        </w:rPr>
      </w:pPr>
      <w:r>
        <w:rPr>
          <w:rFonts w:hint="eastAsia" w:ascii="仿宋" w:hAnsi="仿宋" w:eastAsia="仿宋" w:cs="仿宋"/>
          <w:b/>
          <w:bCs/>
          <w:sz w:val="21"/>
          <w:szCs w:val="21"/>
          <w:lang w:eastAsia="zh-CN"/>
        </w:rPr>
        <w:t>　　</w:t>
      </w:r>
      <w:r>
        <w:rPr>
          <w:rFonts w:hint="eastAsia" w:ascii="仿宋" w:hAnsi="仿宋" w:eastAsia="仿宋" w:cs="仿宋"/>
          <w:b/>
          <w:bCs/>
          <w:sz w:val="21"/>
          <w:szCs w:val="21"/>
        </w:rPr>
        <w:t>二十</w:t>
      </w:r>
      <w:r>
        <w:rPr>
          <w:rFonts w:hint="eastAsia" w:ascii="仿宋" w:hAnsi="仿宋" w:eastAsia="仿宋" w:cs="仿宋"/>
          <w:b/>
          <w:bCs/>
          <w:sz w:val="21"/>
          <w:szCs w:val="21"/>
          <w:lang w:eastAsia="zh-CN"/>
        </w:rPr>
        <w:t>五</w:t>
      </w:r>
      <w:r>
        <w:rPr>
          <w:rFonts w:hint="eastAsia" w:ascii="仿宋" w:hAnsi="仿宋" w:eastAsia="仿宋" w:cs="仿宋"/>
          <w:b/>
          <w:bCs/>
          <w:sz w:val="21"/>
          <w:szCs w:val="21"/>
        </w:rPr>
        <w:t>、提示：乙方已提示甲方注意对本协议各条款作全面、准确的理解，尤其是加黑、加粗标识条款，并应甲方要求作了相应的条款说明。签约各方对本协议条款的含义及相应的法律后果已全部通晓并充分理解。同时，甲方特别声明：对涉及其义务及对其不利的条款已经做了特别的注意，并确认接受。</w:t>
      </w:r>
      <w:r>
        <w:rPr>
          <w:rFonts w:hint="eastAsia" w:ascii="仿宋" w:hAnsi="仿宋" w:eastAsia="仿宋" w:cs="仿宋"/>
          <w:sz w:val="21"/>
          <w:szCs w:val="21"/>
        </w:rPr>
        <w:t xml:space="preserve">    </w:t>
      </w:r>
    </w:p>
    <w:p>
      <w:pPr>
        <w:ind w:firstLine="560"/>
        <w:rPr>
          <w:rFonts w:hint="eastAsia" w:ascii="仿宋" w:hAnsi="仿宋" w:eastAsia="仿宋" w:cs="仿宋"/>
          <w:sz w:val="21"/>
          <w:szCs w:val="21"/>
        </w:rPr>
      </w:pPr>
    </w:p>
    <w:p>
      <w:pPr>
        <w:ind w:firstLine="560"/>
        <w:rPr>
          <w:rFonts w:hint="eastAsia" w:ascii="仿宋" w:hAnsi="仿宋" w:eastAsia="仿宋" w:cs="仿宋"/>
          <w:sz w:val="21"/>
          <w:szCs w:val="21"/>
        </w:rPr>
      </w:pPr>
    </w:p>
    <w:p>
      <w:pPr>
        <w:ind w:firstLine="560"/>
        <w:jc w:val="both"/>
        <w:rPr>
          <w:rFonts w:hint="eastAsia" w:ascii="仿宋" w:hAnsi="仿宋" w:eastAsia="仿宋" w:cs="仿宋"/>
          <w:sz w:val="21"/>
          <w:szCs w:val="21"/>
          <w:lang w:val="en-US" w:eastAsia="zh-CN"/>
        </w:rPr>
      </w:pPr>
      <w:r>
        <w:rPr>
          <w:rFonts w:hint="eastAsia" w:ascii="仿宋" w:hAnsi="仿宋" w:eastAsia="仿宋" w:cs="仿宋"/>
          <w:sz w:val="21"/>
          <w:szCs w:val="21"/>
          <w:lang w:eastAsia="zh-CN"/>
        </w:rPr>
        <w:t>甲方（签字）：</w:t>
      </w:r>
      <w:r>
        <w:rPr>
          <w:rFonts w:hint="eastAsia" w:ascii="仿宋" w:hAnsi="仿宋" w:eastAsia="仿宋" w:cs="仿宋"/>
          <w:sz w:val="21"/>
          <w:szCs w:val="21"/>
          <w:lang w:val="en-US" w:eastAsia="zh-CN"/>
        </w:rPr>
        <w:t xml:space="preserve">          　　　　　　　      乙方：</w:t>
      </w:r>
    </w:p>
    <w:p>
      <w:pPr>
        <w:ind w:firstLine="560"/>
        <w:jc w:val="left"/>
        <w:rPr>
          <w:rFonts w:ascii="仿宋" w:hAnsi="仿宋" w:eastAsia="仿宋" w:cs="仿宋"/>
          <w:sz w:val="28"/>
          <w:szCs w:val="28"/>
        </w:rPr>
      </w:pPr>
      <w:r>
        <w:rPr>
          <w:rFonts w:hint="eastAsia" w:ascii="仿宋" w:hAnsi="仿宋" w:eastAsia="仿宋" w:cs="仿宋"/>
          <w:sz w:val="21"/>
          <w:szCs w:val="21"/>
          <w:lang w:val="en-US" w:eastAsia="zh-CN"/>
        </w:rPr>
        <w:t xml:space="preserve">                           　　　　　　　 签署日期：</w:t>
      </w:r>
      <w:r>
        <w:rPr>
          <w:rFonts w:hint="eastAsia" w:ascii="仿宋" w:hAnsi="仿宋" w:eastAsia="仿宋" w:cs="仿宋"/>
          <w:sz w:val="28"/>
          <w:szCs w:val="28"/>
        </w:rPr>
        <w:t xml:space="preserve">                  </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3B4D37"/>
    <w:multiLevelType w:val="singleLevel"/>
    <w:tmpl w:val="953B4D3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B5B"/>
    <w:rsid w:val="00100884"/>
    <w:rsid w:val="0012473D"/>
    <w:rsid w:val="0018142D"/>
    <w:rsid w:val="001859D2"/>
    <w:rsid w:val="001A23C8"/>
    <w:rsid w:val="001B0324"/>
    <w:rsid w:val="001D68BB"/>
    <w:rsid w:val="002D0112"/>
    <w:rsid w:val="002E077D"/>
    <w:rsid w:val="002E273C"/>
    <w:rsid w:val="00303F60"/>
    <w:rsid w:val="00312109"/>
    <w:rsid w:val="00351EF0"/>
    <w:rsid w:val="003A4C13"/>
    <w:rsid w:val="003A645D"/>
    <w:rsid w:val="003D1849"/>
    <w:rsid w:val="00410407"/>
    <w:rsid w:val="004211DE"/>
    <w:rsid w:val="00494A70"/>
    <w:rsid w:val="00512EA2"/>
    <w:rsid w:val="005B444F"/>
    <w:rsid w:val="005E44AE"/>
    <w:rsid w:val="00617936"/>
    <w:rsid w:val="0068733A"/>
    <w:rsid w:val="007023B1"/>
    <w:rsid w:val="00707227"/>
    <w:rsid w:val="00752A6A"/>
    <w:rsid w:val="00871F93"/>
    <w:rsid w:val="00924D5E"/>
    <w:rsid w:val="00971AE9"/>
    <w:rsid w:val="009C20AD"/>
    <w:rsid w:val="009F075B"/>
    <w:rsid w:val="00A8700B"/>
    <w:rsid w:val="00B024B2"/>
    <w:rsid w:val="00BB6565"/>
    <w:rsid w:val="00C24339"/>
    <w:rsid w:val="00C9103B"/>
    <w:rsid w:val="00CA7ECA"/>
    <w:rsid w:val="00CB45E8"/>
    <w:rsid w:val="00CC7806"/>
    <w:rsid w:val="00CC7C8E"/>
    <w:rsid w:val="00D50FC0"/>
    <w:rsid w:val="00D52E23"/>
    <w:rsid w:val="00D53EBC"/>
    <w:rsid w:val="00D62B87"/>
    <w:rsid w:val="00DF4526"/>
    <w:rsid w:val="00E76427"/>
    <w:rsid w:val="00F20493"/>
    <w:rsid w:val="00F20F8B"/>
    <w:rsid w:val="00FB4FB9"/>
    <w:rsid w:val="00FB6E09"/>
    <w:rsid w:val="00FD7D22"/>
    <w:rsid w:val="011223B5"/>
    <w:rsid w:val="012A27DA"/>
    <w:rsid w:val="030E7CA0"/>
    <w:rsid w:val="04B879C7"/>
    <w:rsid w:val="06F22554"/>
    <w:rsid w:val="071A0292"/>
    <w:rsid w:val="08F65DED"/>
    <w:rsid w:val="091343F3"/>
    <w:rsid w:val="0A241ACA"/>
    <w:rsid w:val="0ABF75EC"/>
    <w:rsid w:val="0B44717B"/>
    <w:rsid w:val="0C657B0F"/>
    <w:rsid w:val="0CB96BFD"/>
    <w:rsid w:val="0EC126C5"/>
    <w:rsid w:val="0F3C3002"/>
    <w:rsid w:val="0F661B11"/>
    <w:rsid w:val="0FE12021"/>
    <w:rsid w:val="105E0903"/>
    <w:rsid w:val="10F66202"/>
    <w:rsid w:val="10FC41E6"/>
    <w:rsid w:val="11DF663D"/>
    <w:rsid w:val="11F17173"/>
    <w:rsid w:val="123D7164"/>
    <w:rsid w:val="12C5652D"/>
    <w:rsid w:val="14156CA2"/>
    <w:rsid w:val="14207E3F"/>
    <w:rsid w:val="146D68A9"/>
    <w:rsid w:val="15A37931"/>
    <w:rsid w:val="15CB63CE"/>
    <w:rsid w:val="15FF1AA7"/>
    <w:rsid w:val="16613181"/>
    <w:rsid w:val="16CC39D1"/>
    <w:rsid w:val="1741614A"/>
    <w:rsid w:val="174A4882"/>
    <w:rsid w:val="18197282"/>
    <w:rsid w:val="18891A07"/>
    <w:rsid w:val="1A7B37D8"/>
    <w:rsid w:val="1B747821"/>
    <w:rsid w:val="1B9A3548"/>
    <w:rsid w:val="1BE735DE"/>
    <w:rsid w:val="1DDA07A1"/>
    <w:rsid w:val="1E285BA5"/>
    <w:rsid w:val="1F536B2D"/>
    <w:rsid w:val="20193226"/>
    <w:rsid w:val="206C6E5A"/>
    <w:rsid w:val="20CB5AB8"/>
    <w:rsid w:val="2108700E"/>
    <w:rsid w:val="21265D62"/>
    <w:rsid w:val="22150839"/>
    <w:rsid w:val="230357BA"/>
    <w:rsid w:val="24296D91"/>
    <w:rsid w:val="242E5D70"/>
    <w:rsid w:val="25C33FDA"/>
    <w:rsid w:val="272A0FFF"/>
    <w:rsid w:val="272D0703"/>
    <w:rsid w:val="277A6D07"/>
    <w:rsid w:val="28143B37"/>
    <w:rsid w:val="28D611BE"/>
    <w:rsid w:val="296918C4"/>
    <w:rsid w:val="2973644F"/>
    <w:rsid w:val="29787826"/>
    <w:rsid w:val="2C64713B"/>
    <w:rsid w:val="2C93589B"/>
    <w:rsid w:val="2EC37D52"/>
    <w:rsid w:val="33F45929"/>
    <w:rsid w:val="34D24AEA"/>
    <w:rsid w:val="34E90F99"/>
    <w:rsid w:val="36BF6C7A"/>
    <w:rsid w:val="37686725"/>
    <w:rsid w:val="399374D9"/>
    <w:rsid w:val="39B028ED"/>
    <w:rsid w:val="3C99052B"/>
    <w:rsid w:val="3D9248F2"/>
    <w:rsid w:val="3DB45D60"/>
    <w:rsid w:val="3E9A283E"/>
    <w:rsid w:val="3EAC3E03"/>
    <w:rsid w:val="3FCB7F31"/>
    <w:rsid w:val="3FF96204"/>
    <w:rsid w:val="41C65C1B"/>
    <w:rsid w:val="4200472C"/>
    <w:rsid w:val="427A512B"/>
    <w:rsid w:val="42E430A8"/>
    <w:rsid w:val="45112818"/>
    <w:rsid w:val="45D550BC"/>
    <w:rsid w:val="45EA1F2C"/>
    <w:rsid w:val="463137A9"/>
    <w:rsid w:val="463E7352"/>
    <w:rsid w:val="476B5107"/>
    <w:rsid w:val="479504ED"/>
    <w:rsid w:val="4A0A421D"/>
    <w:rsid w:val="4B3740D9"/>
    <w:rsid w:val="4C162222"/>
    <w:rsid w:val="4CC13A0B"/>
    <w:rsid w:val="4D4C6C97"/>
    <w:rsid w:val="4D742469"/>
    <w:rsid w:val="4DAA0748"/>
    <w:rsid w:val="4DD45B05"/>
    <w:rsid w:val="4FA61B8F"/>
    <w:rsid w:val="50A50B72"/>
    <w:rsid w:val="51277FCF"/>
    <w:rsid w:val="52454DA2"/>
    <w:rsid w:val="5273269E"/>
    <w:rsid w:val="54EA3E63"/>
    <w:rsid w:val="555009FC"/>
    <w:rsid w:val="576271A3"/>
    <w:rsid w:val="57BE1D80"/>
    <w:rsid w:val="589D0957"/>
    <w:rsid w:val="58A7365E"/>
    <w:rsid w:val="596A2B51"/>
    <w:rsid w:val="5A052C7C"/>
    <w:rsid w:val="5AC278CE"/>
    <w:rsid w:val="5ADA6723"/>
    <w:rsid w:val="5C834FFC"/>
    <w:rsid w:val="5E265FA7"/>
    <w:rsid w:val="5EFD0548"/>
    <w:rsid w:val="5F2C6A06"/>
    <w:rsid w:val="5FBC70C1"/>
    <w:rsid w:val="606A0AE0"/>
    <w:rsid w:val="61AC206D"/>
    <w:rsid w:val="61B01A3D"/>
    <w:rsid w:val="637614B5"/>
    <w:rsid w:val="64DF22B5"/>
    <w:rsid w:val="6615508A"/>
    <w:rsid w:val="66997970"/>
    <w:rsid w:val="67D41B21"/>
    <w:rsid w:val="685D71D2"/>
    <w:rsid w:val="696E02E3"/>
    <w:rsid w:val="69A96CE3"/>
    <w:rsid w:val="6A096866"/>
    <w:rsid w:val="6D295A41"/>
    <w:rsid w:val="6E5830AF"/>
    <w:rsid w:val="6E65275F"/>
    <w:rsid w:val="6FC604B2"/>
    <w:rsid w:val="6FEE041C"/>
    <w:rsid w:val="713E6F20"/>
    <w:rsid w:val="71643698"/>
    <w:rsid w:val="717F77C5"/>
    <w:rsid w:val="71D92D85"/>
    <w:rsid w:val="723F7925"/>
    <w:rsid w:val="72431AB7"/>
    <w:rsid w:val="727F5BB1"/>
    <w:rsid w:val="735B5EC9"/>
    <w:rsid w:val="739959E8"/>
    <w:rsid w:val="75267E77"/>
    <w:rsid w:val="75695619"/>
    <w:rsid w:val="75BD5E9D"/>
    <w:rsid w:val="76330600"/>
    <w:rsid w:val="76451DBA"/>
    <w:rsid w:val="76675AB8"/>
    <w:rsid w:val="767319B0"/>
    <w:rsid w:val="77AF515C"/>
    <w:rsid w:val="77DE5593"/>
    <w:rsid w:val="77E4070B"/>
    <w:rsid w:val="799522DD"/>
    <w:rsid w:val="7B2E0BD0"/>
    <w:rsid w:val="7B811587"/>
    <w:rsid w:val="7BB626A0"/>
    <w:rsid w:val="7BE718BD"/>
    <w:rsid w:val="7C3560AB"/>
    <w:rsid w:val="7C4B4389"/>
    <w:rsid w:val="7EF450F2"/>
    <w:rsid w:val="7F530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rFonts w:ascii="宋体" w:eastAsia="宋体"/>
      <w:sz w:val="18"/>
      <w:szCs w:val="18"/>
    </w:rPr>
  </w:style>
  <w:style w:type="paragraph" w:customStyle="1" w:styleId="5">
    <w:name w:val="List Paragraph"/>
    <w:basedOn w:val="1"/>
    <w:qFormat/>
    <w:uiPriority w:val="34"/>
    <w:pPr>
      <w:ind w:firstLine="420" w:firstLineChars="200"/>
    </w:pPr>
  </w:style>
  <w:style w:type="character" w:customStyle="1" w:styleId="6">
    <w:name w:val="批注框文本 字符"/>
    <w:basedOn w:val="4"/>
    <w:link w:val="2"/>
    <w:semiHidden/>
    <w:qFormat/>
    <w:uiPriority w:val="99"/>
    <w:rPr>
      <w:rFonts w:ascii="宋体" w:eastAsia="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3D39B7-9767-A445-80EA-C620E384A7C6}">
  <ds:schemaRefs/>
</ds:datastoreItem>
</file>

<file path=docProps/app.xml><?xml version="1.0" encoding="utf-8"?>
<Properties xmlns="http://schemas.openxmlformats.org/officeDocument/2006/extended-properties" xmlns:vt="http://schemas.openxmlformats.org/officeDocument/2006/docPropsVTypes">
  <Template>Normal.dotm</Template>
  <Pages>5</Pages>
  <Words>392</Words>
  <Characters>2238</Characters>
  <Lines>18</Lines>
  <Paragraphs>5</Paragraphs>
  <TotalTime>4</TotalTime>
  <ScaleCrop>false</ScaleCrop>
  <LinksUpToDate>false</LinksUpToDate>
  <CharactersWithSpaces>2625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2020-02-19T07:24:00Z</dcterms:created>
  <dc:creator>吴萍</dc:creator>
  <cp:lastModifiedBy>Administrator</cp:lastModifiedBy>
  <dcterms:modified xsi:type="dcterms:W3CDTF">2024-01-16T08:27:27Z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